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61" w:rsidRPr="00D147EC" w:rsidRDefault="00533D61" w:rsidP="00533D61">
      <w:pPr>
        <w:tabs>
          <w:tab w:val="left" w:pos="303"/>
        </w:tabs>
        <w:jc w:val="center"/>
        <w:rPr>
          <w:rStyle w:val="a4"/>
          <w:sz w:val="24"/>
          <w:szCs w:val="24"/>
        </w:rPr>
      </w:pPr>
      <w:r w:rsidRPr="00D147EC">
        <w:rPr>
          <w:rStyle w:val="a4"/>
          <w:sz w:val="24"/>
          <w:szCs w:val="24"/>
        </w:rPr>
        <w:t xml:space="preserve">СООБЩЕНИЕ </w:t>
      </w:r>
    </w:p>
    <w:p w:rsidR="00533D61" w:rsidRPr="00D147EC" w:rsidRDefault="00533D61" w:rsidP="00533D61">
      <w:pPr>
        <w:ind w:right="55"/>
        <w:jc w:val="center"/>
        <w:rPr>
          <w:rFonts w:eastAsiaTheme="minorHAnsi"/>
          <w:b/>
          <w:sz w:val="24"/>
          <w:szCs w:val="24"/>
          <w:lang w:eastAsia="en-US"/>
        </w:rPr>
      </w:pPr>
      <w:proofErr w:type="gramStart"/>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roofErr w:type="gramEnd"/>
    </w:p>
    <w:p w:rsidR="00533D61" w:rsidRPr="00D147EC" w:rsidRDefault="00533D61" w:rsidP="00533D61">
      <w:pPr>
        <w:tabs>
          <w:tab w:val="left" w:pos="303"/>
        </w:tabs>
        <w:jc w:val="center"/>
        <w:rPr>
          <w:rStyle w:val="a4"/>
          <w:bCs w:val="0"/>
          <w:smallCaps w:val="0"/>
          <w:spacing w:val="0"/>
          <w:sz w:val="24"/>
          <w:szCs w:val="24"/>
        </w:rPr>
      </w:pPr>
    </w:p>
    <w:p w:rsidR="00533D61" w:rsidRPr="00D147EC" w:rsidRDefault="00533D61" w:rsidP="00533D61">
      <w:pPr>
        <w:ind w:left="-284" w:firstLine="710"/>
        <w:jc w:val="both"/>
        <w:rPr>
          <w:sz w:val="24"/>
          <w:szCs w:val="24"/>
        </w:rPr>
      </w:pPr>
      <w:proofErr w:type="gramStart"/>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sidR="00606516">
        <w:rPr>
          <w:sz w:val="24"/>
          <w:szCs w:val="24"/>
        </w:rPr>
        <w:t>в периодическом печатном издании «Бюллетень</w:t>
      </w:r>
      <w:proofErr w:type="gramEnd"/>
      <w:r w:rsidR="00606516">
        <w:rPr>
          <w:sz w:val="24"/>
          <w:szCs w:val="24"/>
        </w:rPr>
        <w:t xml:space="preserve">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533D61" w:rsidRPr="00D147EC" w:rsidRDefault="00533D61" w:rsidP="00533D61">
      <w:pPr>
        <w:ind w:left="-284" w:firstLine="710"/>
        <w:jc w:val="both"/>
        <w:rPr>
          <w:rFonts w:eastAsiaTheme="minorHAnsi"/>
          <w:sz w:val="24"/>
          <w:szCs w:val="24"/>
          <w:lang w:eastAsia="en-US"/>
        </w:rPr>
      </w:pPr>
      <w:proofErr w:type="gramStart"/>
      <w:r w:rsidRPr="00D147EC">
        <w:rPr>
          <w:sz w:val="24"/>
          <w:szCs w:val="24"/>
        </w:rPr>
        <w:t xml:space="preserve">В соответствии с пунктом 3.5. постановления мэрии города Новосибирска от 02.08.2016 </w:t>
      </w:r>
      <w:r w:rsidR="00606516">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sidR="00606516">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147EC">
        <w:rPr>
          <w:sz w:val="24"/>
          <w:szCs w:val="24"/>
        </w:rPr>
        <w:t xml:space="preserve"> Порядка </w:t>
      </w:r>
      <w:r w:rsidRPr="00D147EC">
        <w:rPr>
          <w:b/>
          <w:sz w:val="24"/>
          <w:szCs w:val="24"/>
        </w:rPr>
        <w:t>в запечатанном конверте</w:t>
      </w:r>
      <w:r w:rsidRPr="00D147EC">
        <w:rPr>
          <w:rFonts w:eastAsiaTheme="minorHAnsi"/>
          <w:sz w:val="24"/>
          <w:szCs w:val="24"/>
          <w:lang w:eastAsia="en-US"/>
        </w:rPr>
        <w:t>.</w:t>
      </w:r>
    </w:p>
    <w:p w:rsidR="00533D61" w:rsidRPr="00D147EC" w:rsidRDefault="00533D61" w:rsidP="00533D61">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533D61" w:rsidRPr="00D147EC" w:rsidRDefault="00533D61" w:rsidP="00533D61">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533D61" w:rsidRDefault="00533D61" w:rsidP="00533D61">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 xml:space="preserve">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lastRenderedPageBreak/>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12. </w:t>
      </w:r>
      <w:proofErr w:type="gramStart"/>
      <w:r w:rsidRPr="00D34549">
        <w:rPr>
          <w:rFonts w:eastAsiaTheme="minorHAnsi"/>
          <w:sz w:val="24"/>
          <w:szCs w:val="24"/>
          <w:lang w:eastAsia="en-US"/>
        </w:rPr>
        <w:t xml:space="preserve">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533D61"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533D61" w:rsidRPr="00D34549" w:rsidRDefault="00533D61" w:rsidP="00533D61">
      <w:pPr>
        <w:adjustRightInd w:val="0"/>
        <w:ind w:firstLine="540"/>
        <w:jc w:val="both"/>
        <w:rPr>
          <w:rFonts w:eastAsiaTheme="minorHAnsi"/>
          <w:sz w:val="24"/>
          <w:szCs w:val="24"/>
          <w:lang w:eastAsia="en-US"/>
        </w:rPr>
      </w:pPr>
      <w:r w:rsidRPr="00D34549">
        <w:rPr>
          <w:rFonts w:eastAsiaTheme="minorHAnsi"/>
          <w:sz w:val="24"/>
          <w:szCs w:val="24"/>
          <w:lang w:eastAsia="en-US"/>
        </w:rPr>
        <w:t xml:space="preserve">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sidR="00BA4D3A">
        <w:rPr>
          <w:rFonts w:eastAsiaTheme="minorHAnsi"/>
          <w:sz w:val="24"/>
          <w:szCs w:val="24"/>
          <w:lang w:eastAsia="en-US"/>
        </w:rPr>
        <w:t>ожность финансирования проекта).</w:t>
      </w:r>
      <w:proofErr w:type="gramEnd"/>
    </w:p>
    <w:p w:rsidR="00533D61" w:rsidRPr="00D147EC" w:rsidRDefault="00533D61" w:rsidP="00533D61">
      <w:pPr>
        <w:ind w:left="-284" w:firstLine="710"/>
        <w:jc w:val="both"/>
        <w:rPr>
          <w:sz w:val="24"/>
          <w:szCs w:val="24"/>
        </w:rPr>
      </w:pPr>
    </w:p>
    <w:p w:rsidR="00533D61" w:rsidRDefault="00533D61" w:rsidP="00533D61">
      <w:pPr>
        <w:ind w:left="-284" w:firstLine="710"/>
        <w:jc w:val="both"/>
        <w:rPr>
          <w:b/>
          <w:sz w:val="24"/>
          <w:szCs w:val="24"/>
        </w:rPr>
      </w:pPr>
    </w:p>
    <w:p w:rsidR="00533D61" w:rsidRPr="00D147EC" w:rsidRDefault="00533D61" w:rsidP="00533D61">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533D61" w:rsidRPr="00D147EC" w:rsidRDefault="00533D61" w:rsidP="00533D61">
      <w:pPr>
        <w:suppressAutoHyphens w:val="0"/>
        <w:autoSpaceDE w:val="0"/>
        <w:autoSpaceDN w:val="0"/>
        <w:adjustRightInd w:val="0"/>
        <w:ind w:left="-284"/>
        <w:jc w:val="both"/>
        <w:rPr>
          <w:rFonts w:eastAsiaTheme="minorHAnsi"/>
          <w:bCs/>
          <w:sz w:val="24"/>
          <w:szCs w:val="24"/>
          <w:lang w:eastAsia="en-US"/>
        </w:rPr>
      </w:pPr>
      <w:proofErr w:type="gramStart"/>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w:t>
      </w:r>
      <w:proofErr w:type="gramEnd"/>
      <w:r w:rsidRPr="00D147EC">
        <w:rPr>
          <w:rFonts w:eastAsiaTheme="minorHAnsi"/>
          <w:bCs/>
          <w:sz w:val="24"/>
          <w:szCs w:val="24"/>
          <w:lang w:eastAsia="en-US"/>
        </w:rPr>
        <w:t xml:space="preserve">, </w:t>
      </w:r>
      <w:proofErr w:type="gramStart"/>
      <w:r w:rsidRPr="00D147EC">
        <w:rPr>
          <w:rFonts w:eastAsiaTheme="minorHAnsi"/>
          <w:bCs/>
          <w:sz w:val="24"/>
          <w:szCs w:val="24"/>
          <w:lang w:eastAsia="en-US"/>
        </w:rPr>
        <w:t>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roofErr w:type="gramEnd"/>
    </w:p>
    <w:p w:rsidR="00533D61" w:rsidRPr="00D147EC" w:rsidRDefault="00533D61" w:rsidP="00533D61">
      <w:pPr>
        <w:suppressAutoHyphens w:val="0"/>
        <w:autoSpaceDE w:val="0"/>
        <w:autoSpaceDN w:val="0"/>
        <w:adjustRightInd w:val="0"/>
        <w:ind w:left="-284" w:firstLine="710"/>
        <w:jc w:val="both"/>
        <w:rPr>
          <w:rFonts w:eastAsiaTheme="minorHAnsi"/>
          <w:bCs/>
          <w:sz w:val="24"/>
          <w:szCs w:val="24"/>
          <w:lang w:eastAsia="en-US"/>
        </w:rPr>
      </w:pPr>
    </w:p>
    <w:p w:rsidR="00533D61" w:rsidRPr="00D147EC" w:rsidRDefault="00533D61" w:rsidP="00533D61">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533D61" w:rsidRDefault="00533D61" w:rsidP="00533D61">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533D61" w:rsidRDefault="00533D61" w:rsidP="00533D61">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533D61" w:rsidRDefault="00533D61" w:rsidP="00533D61">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533D61" w:rsidRPr="006B66F9" w:rsidRDefault="00533D61" w:rsidP="00533D61">
      <w:pPr>
        <w:ind w:left="-284" w:firstLine="710"/>
        <w:jc w:val="both"/>
        <w:rPr>
          <w:sz w:val="24"/>
          <w:szCs w:val="24"/>
        </w:rPr>
      </w:pPr>
      <w:proofErr w:type="gramStart"/>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7"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8" w:history="1">
        <w:r w:rsidRPr="006B66F9">
          <w:rPr>
            <w:rFonts w:eastAsiaTheme="minorHAnsi"/>
            <w:bCs/>
            <w:sz w:val="24"/>
            <w:szCs w:val="24"/>
            <w:lang w:eastAsia="en-US"/>
          </w:rPr>
          <w:t>законом</w:t>
        </w:r>
      </w:hyperlink>
      <w:r w:rsidRPr="006B66F9">
        <w:rPr>
          <w:rFonts w:eastAsiaTheme="minorHAnsi"/>
          <w:bCs/>
          <w:sz w:val="24"/>
          <w:szCs w:val="24"/>
          <w:lang w:eastAsia="en-US"/>
        </w:rPr>
        <w:t xml:space="preserve"> от 18.07.2011 N 223-ФЗ "О закупках товаров, работ, услуг отдельными видами юридических лиц";</w:t>
      </w:r>
      <w:proofErr w:type="gramEnd"/>
    </w:p>
    <w:p w:rsidR="00533D61" w:rsidRDefault="00533D61" w:rsidP="00533D61">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533D61" w:rsidRDefault="00533D61" w:rsidP="00533D61">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9" w:history="1">
        <w:r w:rsidRPr="006B66F9">
          <w:rPr>
            <w:rFonts w:eastAsiaTheme="minorHAnsi"/>
            <w:bCs/>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533D61" w:rsidRDefault="00533D61" w:rsidP="00533D61">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533D61" w:rsidRDefault="00533D61" w:rsidP="00533D61">
      <w:pPr>
        <w:ind w:left="-284" w:firstLine="710"/>
        <w:jc w:val="both"/>
        <w:rPr>
          <w:sz w:val="24"/>
          <w:szCs w:val="24"/>
        </w:rPr>
      </w:pPr>
    </w:p>
    <w:p w:rsidR="00533D61" w:rsidRDefault="00533D61" w:rsidP="00533D61">
      <w:pPr>
        <w:ind w:left="-284" w:firstLine="710"/>
        <w:jc w:val="both"/>
        <w:rPr>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sidR="00BA4D3A">
        <w:rPr>
          <w:b/>
          <w:sz w:val="24"/>
          <w:szCs w:val="24"/>
        </w:rPr>
        <w:t>20</w:t>
      </w:r>
      <w:r>
        <w:rPr>
          <w:b/>
          <w:sz w:val="24"/>
          <w:szCs w:val="24"/>
        </w:rPr>
        <w:t>.</w:t>
      </w:r>
      <w:r w:rsidR="00BA4D3A">
        <w:rPr>
          <w:b/>
          <w:sz w:val="24"/>
          <w:szCs w:val="24"/>
        </w:rPr>
        <w:t>03</w:t>
      </w:r>
      <w:r>
        <w:rPr>
          <w:b/>
          <w:sz w:val="24"/>
          <w:szCs w:val="24"/>
        </w:rPr>
        <w:t>.20</w:t>
      </w:r>
      <w:r w:rsidR="00BA4D3A">
        <w:rPr>
          <w:b/>
          <w:sz w:val="24"/>
          <w:szCs w:val="24"/>
        </w:rPr>
        <w:t>20</w:t>
      </w:r>
      <w:r w:rsidRPr="00FF3643">
        <w:rPr>
          <w:b/>
          <w:sz w:val="24"/>
          <w:szCs w:val="24"/>
        </w:rPr>
        <w:t xml:space="preserve"> принято решение о возможном удовлетворении  ходатайств</w:t>
      </w:r>
      <w:r>
        <w:rPr>
          <w:b/>
          <w:sz w:val="24"/>
          <w:szCs w:val="24"/>
        </w:rPr>
        <w:t>а</w:t>
      </w:r>
      <w:r w:rsidRPr="00FF3643">
        <w:rPr>
          <w:b/>
          <w:sz w:val="24"/>
          <w:szCs w:val="24"/>
        </w:rPr>
        <w:t xml:space="preserve"> </w:t>
      </w:r>
      <w:r>
        <w:rPr>
          <w:b/>
          <w:sz w:val="24"/>
          <w:szCs w:val="24"/>
        </w:rPr>
        <w:t xml:space="preserve">  ООО  </w:t>
      </w:r>
      <w:r w:rsidR="00BA4D3A">
        <w:rPr>
          <w:b/>
          <w:sz w:val="24"/>
          <w:szCs w:val="24"/>
        </w:rPr>
        <w:t xml:space="preserve">ПКФ </w:t>
      </w:r>
      <w:r>
        <w:rPr>
          <w:b/>
          <w:sz w:val="24"/>
          <w:szCs w:val="24"/>
        </w:rPr>
        <w:t>«</w:t>
      </w:r>
      <w:proofErr w:type="spellStart"/>
      <w:r w:rsidR="00BA4D3A">
        <w:rPr>
          <w:b/>
          <w:sz w:val="24"/>
          <w:szCs w:val="24"/>
        </w:rPr>
        <w:t>Агросервис</w:t>
      </w:r>
      <w:proofErr w:type="spellEnd"/>
      <w:r>
        <w:rPr>
          <w:b/>
          <w:sz w:val="24"/>
          <w:szCs w:val="24"/>
        </w:rPr>
        <w:t>».</w:t>
      </w:r>
      <w:r w:rsidRPr="00FF3643">
        <w:rPr>
          <w:sz w:val="24"/>
          <w:szCs w:val="24"/>
        </w:rPr>
        <w:t xml:space="preserve">    </w:t>
      </w:r>
    </w:p>
    <w:p w:rsidR="00533D61" w:rsidRDefault="00533D61" w:rsidP="00533D61">
      <w:pPr>
        <w:ind w:left="-284" w:firstLine="710"/>
        <w:jc w:val="both"/>
        <w:rPr>
          <w:sz w:val="24"/>
          <w:szCs w:val="24"/>
        </w:rPr>
      </w:pPr>
    </w:p>
    <w:p w:rsidR="00533D61" w:rsidRPr="001C1A07" w:rsidRDefault="00533D61" w:rsidP="00533D61">
      <w:pPr>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533D61" w:rsidRPr="00D147EC" w:rsidRDefault="00533D61" w:rsidP="00533D61">
      <w:pPr>
        <w:pStyle w:val="a7"/>
        <w:numPr>
          <w:ilvl w:val="0"/>
          <w:numId w:val="1"/>
        </w:numPr>
        <w:jc w:val="both"/>
        <w:rPr>
          <w:sz w:val="24"/>
          <w:szCs w:val="24"/>
        </w:rPr>
      </w:pPr>
      <w:proofErr w:type="gramStart"/>
      <w:r w:rsidRPr="00D147EC">
        <w:rPr>
          <w:sz w:val="24"/>
          <w:szCs w:val="24"/>
        </w:rPr>
        <w:t xml:space="preserve">Местоположение – ул. </w:t>
      </w:r>
      <w:r w:rsidR="00BA4D3A">
        <w:rPr>
          <w:sz w:val="24"/>
          <w:szCs w:val="24"/>
        </w:rPr>
        <w:t>Саввы Кожевникова</w:t>
      </w:r>
      <w:r w:rsidR="00CA33E5">
        <w:rPr>
          <w:sz w:val="24"/>
          <w:szCs w:val="24"/>
        </w:rPr>
        <w:t xml:space="preserve"> (между ул. </w:t>
      </w:r>
      <w:proofErr w:type="spellStart"/>
      <w:r w:rsidR="00CA33E5">
        <w:rPr>
          <w:sz w:val="24"/>
          <w:szCs w:val="24"/>
        </w:rPr>
        <w:t>Урманова</w:t>
      </w:r>
      <w:proofErr w:type="spellEnd"/>
      <w:r w:rsidR="00CA33E5">
        <w:rPr>
          <w:sz w:val="24"/>
          <w:szCs w:val="24"/>
        </w:rPr>
        <w:t xml:space="preserve"> и ул. </w:t>
      </w:r>
      <w:proofErr w:type="gramEnd"/>
      <w:r w:rsidR="00CA33E5">
        <w:rPr>
          <w:sz w:val="24"/>
          <w:szCs w:val="24"/>
        </w:rPr>
        <w:t>Аникина)</w:t>
      </w:r>
      <w:r>
        <w:rPr>
          <w:sz w:val="24"/>
          <w:szCs w:val="24"/>
        </w:rPr>
        <w:t xml:space="preserve">, </w:t>
      </w:r>
      <w:r w:rsidR="00BA4D3A">
        <w:rPr>
          <w:sz w:val="24"/>
          <w:szCs w:val="24"/>
        </w:rPr>
        <w:t>Киров</w:t>
      </w:r>
      <w:r>
        <w:rPr>
          <w:sz w:val="24"/>
          <w:szCs w:val="24"/>
        </w:rPr>
        <w:t>ский</w:t>
      </w:r>
      <w:r w:rsidRPr="00D147EC">
        <w:rPr>
          <w:sz w:val="24"/>
          <w:szCs w:val="24"/>
        </w:rPr>
        <w:t xml:space="preserve"> район</w:t>
      </w:r>
      <w:r>
        <w:rPr>
          <w:sz w:val="24"/>
          <w:szCs w:val="24"/>
        </w:rPr>
        <w:t>, город Новосибирск</w:t>
      </w:r>
      <w:r w:rsidRPr="00D147EC">
        <w:rPr>
          <w:sz w:val="24"/>
          <w:szCs w:val="24"/>
        </w:rPr>
        <w:t>.</w:t>
      </w:r>
    </w:p>
    <w:p w:rsidR="00533D61" w:rsidRPr="00D147EC" w:rsidRDefault="00533D61" w:rsidP="00533D61">
      <w:pPr>
        <w:pStyle w:val="a7"/>
        <w:numPr>
          <w:ilvl w:val="0"/>
          <w:numId w:val="1"/>
        </w:numPr>
        <w:jc w:val="both"/>
        <w:rPr>
          <w:sz w:val="24"/>
          <w:szCs w:val="24"/>
        </w:rPr>
      </w:pPr>
      <w:r w:rsidRPr="00D147EC">
        <w:rPr>
          <w:sz w:val="24"/>
          <w:szCs w:val="24"/>
        </w:rPr>
        <w:t xml:space="preserve">Площадь – </w:t>
      </w:r>
      <w:r>
        <w:rPr>
          <w:sz w:val="24"/>
          <w:szCs w:val="24"/>
        </w:rPr>
        <w:t xml:space="preserve"> </w:t>
      </w:r>
      <w:r w:rsidR="00BA4D3A">
        <w:rPr>
          <w:sz w:val="24"/>
          <w:szCs w:val="24"/>
        </w:rPr>
        <w:t>0</w:t>
      </w:r>
      <w:r>
        <w:rPr>
          <w:sz w:val="24"/>
          <w:szCs w:val="24"/>
        </w:rPr>
        <w:t>,</w:t>
      </w:r>
      <w:r w:rsidR="00BA4D3A">
        <w:rPr>
          <w:sz w:val="24"/>
          <w:szCs w:val="24"/>
        </w:rPr>
        <w:t>6964</w:t>
      </w:r>
      <w:r w:rsidRPr="00D147EC">
        <w:rPr>
          <w:sz w:val="24"/>
          <w:szCs w:val="24"/>
        </w:rPr>
        <w:t xml:space="preserve"> га.</w:t>
      </w:r>
    </w:p>
    <w:p w:rsidR="00533D61" w:rsidRPr="00D147EC" w:rsidRDefault="00533D61" w:rsidP="00533D61">
      <w:pPr>
        <w:pStyle w:val="a7"/>
        <w:numPr>
          <w:ilvl w:val="0"/>
          <w:numId w:val="1"/>
        </w:numPr>
        <w:jc w:val="both"/>
        <w:rPr>
          <w:sz w:val="24"/>
          <w:szCs w:val="24"/>
        </w:rPr>
      </w:pPr>
      <w:r w:rsidRPr="00D147EC">
        <w:rPr>
          <w:sz w:val="24"/>
          <w:szCs w:val="24"/>
        </w:rPr>
        <w:lastRenderedPageBreak/>
        <w:t>Категория земель – земли населенных пунктов.</w:t>
      </w:r>
    </w:p>
    <w:p w:rsidR="00BA4D3A" w:rsidRDefault="00533D61" w:rsidP="00533D61">
      <w:pPr>
        <w:pStyle w:val="a7"/>
        <w:numPr>
          <w:ilvl w:val="0"/>
          <w:numId w:val="1"/>
        </w:numPr>
        <w:jc w:val="both"/>
        <w:rPr>
          <w:sz w:val="24"/>
          <w:szCs w:val="24"/>
        </w:rPr>
      </w:pPr>
      <w:r w:rsidRPr="00D147EC">
        <w:rPr>
          <w:sz w:val="24"/>
          <w:szCs w:val="24"/>
        </w:rPr>
        <w:t xml:space="preserve">Разрешенное использование – </w:t>
      </w:r>
      <w:r w:rsidR="00BA4D3A">
        <w:rPr>
          <w:sz w:val="24"/>
          <w:szCs w:val="24"/>
        </w:rPr>
        <w:t>застройка жилыми домами смешанной этажности различной плотности застройки (зона Ж-1.1).</w:t>
      </w:r>
    </w:p>
    <w:p w:rsidR="00533D61" w:rsidRPr="00480DFC" w:rsidRDefault="00533D61" w:rsidP="00533D61">
      <w:pPr>
        <w:pStyle w:val="a7"/>
        <w:ind w:left="0" w:firstLine="709"/>
        <w:jc w:val="both"/>
        <w:rPr>
          <w:b/>
          <w:sz w:val="24"/>
          <w:szCs w:val="24"/>
        </w:rPr>
      </w:pPr>
      <w:r w:rsidRPr="00D147EC">
        <w:rPr>
          <w:b/>
          <w:sz w:val="24"/>
          <w:szCs w:val="24"/>
        </w:rPr>
        <w:t>Сведения о многоквартирн</w:t>
      </w:r>
      <w:r>
        <w:rPr>
          <w:b/>
          <w:sz w:val="24"/>
          <w:szCs w:val="24"/>
        </w:rPr>
        <w:t>ых</w:t>
      </w:r>
      <w:r w:rsidRPr="00D147EC">
        <w:rPr>
          <w:b/>
          <w:sz w:val="24"/>
          <w:szCs w:val="24"/>
        </w:rPr>
        <w:t xml:space="preserve"> дом</w:t>
      </w:r>
      <w:r>
        <w:rPr>
          <w:b/>
          <w:sz w:val="24"/>
          <w:szCs w:val="24"/>
        </w:rPr>
        <w:t>ах</w:t>
      </w:r>
      <w:r w:rsidRPr="00D147EC">
        <w:rPr>
          <w:b/>
          <w:sz w:val="24"/>
          <w:szCs w:val="24"/>
        </w:rPr>
        <w:t>, застройщик</w:t>
      </w:r>
      <w:r>
        <w:rPr>
          <w:b/>
          <w:sz w:val="24"/>
          <w:szCs w:val="24"/>
        </w:rPr>
        <w:t>и</w:t>
      </w:r>
      <w:r w:rsidRPr="00D147EC">
        <w:rPr>
          <w:b/>
          <w:sz w:val="24"/>
          <w:szCs w:val="24"/>
        </w:rPr>
        <w:t xml:space="preserve"> котор</w:t>
      </w:r>
      <w:r>
        <w:rPr>
          <w:b/>
          <w:sz w:val="24"/>
          <w:szCs w:val="24"/>
        </w:rPr>
        <w:t>ых</w:t>
      </w:r>
      <w:r w:rsidRPr="00D147EC">
        <w:rPr>
          <w:b/>
          <w:sz w:val="24"/>
          <w:szCs w:val="24"/>
        </w:rPr>
        <w:t xml:space="preserve"> не исполнил</w:t>
      </w:r>
      <w:r>
        <w:rPr>
          <w:b/>
          <w:sz w:val="24"/>
          <w:szCs w:val="24"/>
        </w:rPr>
        <w:t>и</w:t>
      </w:r>
      <w:r w:rsidRPr="00D147EC">
        <w:rPr>
          <w:b/>
          <w:sz w:val="24"/>
          <w:szCs w:val="24"/>
        </w:rPr>
        <w:t xml:space="preserve"> свои обязательства по передаче жилых помещений гражданам, вложившим денежные средства в строительство многоквартирных домов, на завершение строительства котор</w:t>
      </w:r>
      <w:r>
        <w:rPr>
          <w:b/>
          <w:sz w:val="24"/>
          <w:szCs w:val="24"/>
        </w:rPr>
        <w:t>ых</w:t>
      </w:r>
      <w:r w:rsidRPr="00D147EC">
        <w:rPr>
          <w:b/>
          <w:sz w:val="24"/>
          <w:szCs w:val="24"/>
        </w:rPr>
        <w:t xml:space="preserve"> инициатором проекта предполагается внесение денежных средств:</w:t>
      </w:r>
    </w:p>
    <w:p w:rsidR="00533D61" w:rsidRPr="00D147EC" w:rsidRDefault="00533D61" w:rsidP="00533D61">
      <w:pPr>
        <w:ind w:right="113" w:firstLine="1134"/>
        <w:jc w:val="both"/>
        <w:rPr>
          <w:sz w:val="24"/>
          <w:szCs w:val="24"/>
        </w:rPr>
      </w:pPr>
      <w:r>
        <w:rPr>
          <w:sz w:val="24"/>
          <w:szCs w:val="24"/>
        </w:rPr>
        <w:t xml:space="preserve">Инициатор проекта планирует перечислить средства </w:t>
      </w:r>
      <w:r w:rsidRPr="00D147EC">
        <w:rPr>
          <w:sz w:val="24"/>
          <w:szCs w:val="24"/>
        </w:rPr>
        <w:t>на завершение строительства многоэтажного  жилого дома по адресу</w:t>
      </w:r>
      <w:r>
        <w:rPr>
          <w:sz w:val="24"/>
          <w:szCs w:val="24"/>
        </w:rPr>
        <w:t xml:space="preserve">: </w:t>
      </w:r>
      <w:proofErr w:type="gramStart"/>
      <w:r w:rsidRPr="00D147EC">
        <w:rPr>
          <w:sz w:val="24"/>
          <w:szCs w:val="24"/>
        </w:rPr>
        <w:t>г</w:t>
      </w:r>
      <w:proofErr w:type="gramEnd"/>
      <w:r w:rsidRPr="00D147EC">
        <w:rPr>
          <w:sz w:val="24"/>
          <w:szCs w:val="24"/>
        </w:rPr>
        <w:t xml:space="preserve">. Новосибирск, </w:t>
      </w:r>
      <w:r w:rsidRPr="002C3485">
        <w:rPr>
          <w:sz w:val="24"/>
          <w:szCs w:val="24"/>
        </w:rPr>
        <w:t xml:space="preserve">Октябрьский  район,   ул. </w:t>
      </w:r>
      <w:r w:rsidR="0069218A" w:rsidRPr="002C3485">
        <w:rPr>
          <w:sz w:val="24"/>
          <w:szCs w:val="24"/>
        </w:rPr>
        <w:t>1-я Родниковая</w:t>
      </w:r>
      <w:r w:rsidRPr="002C3485">
        <w:rPr>
          <w:sz w:val="24"/>
          <w:szCs w:val="24"/>
        </w:rPr>
        <w:t xml:space="preserve">, </w:t>
      </w:r>
      <w:r w:rsidR="0069218A" w:rsidRPr="002C3485">
        <w:rPr>
          <w:sz w:val="24"/>
          <w:szCs w:val="24"/>
        </w:rPr>
        <w:t>24/2</w:t>
      </w:r>
      <w:r>
        <w:rPr>
          <w:sz w:val="24"/>
          <w:szCs w:val="24"/>
        </w:rPr>
        <w:t xml:space="preserve"> и </w:t>
      </w:r>
      <w:r w:rsidRPr="00D147EC">
        <w:rPr>
          <w:sz w:val="24"/>
          <w:szCs w:val="24"/>
        </w:rPr>
        <w:t>многоэтажного  жилого дома по адресу</w:t>
      </w:r>
      <w:r>
        <w:rPr>
          <w:sz w:val="24"/>
          <w:szCs w:val="24"/>
        </w:rPr>
        <w:t xml:space="preserve">: </w:t>
      </w:r>
      <w:r w:rsidRPr="00D147EC">
        <w:rPr>
          <w:sz w:val="24"/>
          <w:szCs w:val="24"/>
        </w:rPr>
        <w:t>г. Новосибирск,</w:t>
      </w:r>
      <w:r>
        <w:rPr>
          <w:sz w:val="24"/>
          <w:szCs w:val="24"/>
        </w:rPr>
        <w:t xml:space="preserve"> </w:t>
      </w:r>
      <w:proofErr w:type="spellStart"/>
      <w:r w:rsidR="0069218A">
        <w:rPr>
          <w:sz w:val="24"/>
          <w:szCs w:val="24"/>
        </w:rPr>
        <w:t>Заельцовский</w:t>
      </w:r>
      <w:proofErr w:type="spellEnd"/>
      <w:r w:rsidR="0069218A">
        <w:rPr>
          <w:sz w:val="24"/>
          <w:szCs w:val="24"/>
        </w:rPr>
        <w:t xml:space="preserve"> </w:t>
      </w:r>
      <w:r>
        <w:rPr>
          <w:sz w:val="24"/>
          <w:szCs w:val="24"/>
        </w:rPr>
        <w:t xml:space="preserve">район, ул. </w:t>
      </w:r>
      <w:r w:rsidR="0069218A">
        <w:rPr>
          <w:sz w:val="24"/>
          <w:szCs w:val="24"/>
        </w:rPr>
        <w:t>Галущака</w:t>
      </w:r>
      <w:r>
        <w:rPr>
          <w:sz w:val="24"/>
          <w:szCs w:val="24"/>
        </w:rPr>
        <w:t>, 1</w:t>
      </w:r>
      <w:r w:rsidR="0069218A">
        <w:rPr>
          <w:sz w:val="24"/>
          <w:szCs w:val="24"/>
        </w:rPr>
        <w:t>5</w:t>
      </w:r>
      <w:r>
        <w:rPr>
          <w:sz w:val="24"/>
          <w:szCs w:val="24"/>
        </w:rPr>
        <w:t xml:space="preserve"> стр. </w:t>
      </w:r>
    </w:p>
    <w:p w:rsidR="00533D61" w:rsidRDefault="00533D61" w:rsidP="00533D61">
      <w:pPr>
        <w:ind w:firstLine="709"/>
        <w:jc w:val="both"/>
        <w:rPr>
          <w:sz w:val="24"/>
          <w:szCs w:val="24"/>
        </w:rPr>
      </w:pPr>
      <w:r w:rsidRPr="00D147EC">
        <w:rPr>
          <w:b/>
          <w:sz w:val="24"/>
          <w:szCs w:val="24"/>
        </w:rPr>
        <w:t xml:space="preserve">Максимальный срок реализации проекта – </w:t>
      </w:r>
      <w:r w:rsidR="0069218A">
        <w:rPr>
          <w:b/>
          <w:sz w:val="24"/>
          <w:szCs w:val="24"/>
        </w:rPr>
        <w:t>3</w:t>
      </w:r>
      <w:r w:rsidRPr="00D147EC">
        <w:rPr>
          <w:sz w:val="24"/>
          <w:szCs w:val="24"/>
        </w:rPr>
        <w:t xml:space="preserve"> (</w:t>
      </w:r>
      <w:r w:rsidR="0069218A">
        <w:rPr>
          <w:sz w:val="24"/>
          <w:szCs w:val="24"/>
        </w:rPr>
        <w:t>три</w:t>
      </w:r>
      <w:r w:rsidRPr="00D147EC">
        <w:rPr>
          <w:sz w:val="24"/>
          <w:szCs w:val="24"/>
        </w:rPr>
        <w:t xml:space="preserve">) </w:t>
      </w:r>
      <w:r w:rsidR="0069218A">
        <w:rPr>
          <w:sz w:val="24"/>
          <w:szCs w:val="24"/>
        </w:rPr>
        <w:t>года</w:t>
      </w:r>
      <w:r w:rsidRPr="00D147EC">
        <w:rPr>
          <w:sz w:val="24"/>
          <w:szCs w:val="24"/>
        </w:rPr>
        <w:t>.</w:t>
      </w:r>
    </w:p>
    <w:p w:rsidR="00533D61" w:rsidRDefault="00533D61" w:rsidP="00533D61">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 xml:space="preserve">указанных </w:t>
      </w:r>
      <w:r w:rsidRPr="00D147EC">
        <w:rPr>
          <w:sz w:val="24"/>
          <w:szCs w:val="24"/>
        </w:rPr>
        <w:t>многоквартирн</w:t>
      </w:r>
      <w:r>
        <w:rPr>
          <w:sz w:val="24"/>
          <w:szCs w:val="24"/>
        </w:rPr>
        <w:t>ых</w:t>
      </w:r>
      <w:r w:rsidRPr="00D147EC">
        <w:rPr>
          <w:sz w:val="24"/>
          <w:szCs w:val="24"/>
        </w:rPr>
        <w:t xml:space="preserve"> дом</w:t>
      </w:r>
      <w:r>
        <w:rPr>
          <w:sz w:val="24"/>
          <w:szCs w:val="24"/>
        </w:rPr>
        <w:t>ов</w:t>
      </w:r>
      <w:r w:rsidRPr="00D147EC">
        <w:rPr>
          <w:sz w:val="24"/>
          <w:szCs w:val="24"/>
        </w:rPr>
        <w:t>, застройщик</w:t>
      </w:r>
      <w:r>
        <w:rPr>
          <w:sz w:val="24"/>
          <w:szCs w:val="24"/>
        </w:rPr>
        <w:t>и</w:t>
      </w:r>
      <w:r w:rsidRPr="00D147EC">
        <w:rPr>
          <w:sz w:val="24"/>
          <w:szCs w:val="24"/>
        </w:rPr>
        <w:t xml:space="preserve"> котор</w:t>
      </w:r>
      <w:r>
        <w:rPr>
          <w:sz w:val="24"/>
          <w:szCs w:val="24"/>
        </w:rPr>
        <w:t>ых</w:t>
      </w:r>
      <w:r w:rsidRPr="00D147EC">
        <w:rPr>
          <w:sz w:val="24"/>
          <w:szCs w:val="24"/>
        </w:rPr>
        <w:t xml:space="preserve"> не исполнил</w:t>
      </w:r>
      <w:r>
        <w:rPr>
          <w:sz w:val="24"/>
          <w:szCs w:val="24"/>
        </w:rPr>
        <w:t>и</w:t>
      </w:r>
      <w:r w:rsidRPr="00D147EC">
        <w:rPr>
          <w:sz w:val="24"/>
          <w:szCs w:val="24"/>
        </w:rPr>
        <w:t xml:space="preserve">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Pr>
          <w:sz w:val="24"/>
          <w:szCs w:val="24"/>
        </w:rPr>
        <w:t xml:space="preserve">12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533D61" w:rsidRDefault="00533D61" w:rsidP="00533D61">
      <w:pPr>
        <w:ind w:firstLine="709"/>
        <w:jc w:val="both"/>
        <w:rPr>
          <w:b/>
          <w:sz w:val="24"/>
          <w:szCs w:val="24"/>
        </w:rPr>
      </w:pPr>
    </w:p>
    <w:p w:rsidR="00533D61" w:rsidRPr="00D147EC" w:rsidRDefault="00533D61" w:rsidP="00533D61">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533D61" w:rsidRPr="00D147EC" w:rsidRDefault="00533D61" w:rsidP="00533D61">
      <w:pPr>
        <w:autoSpaceDE w:val="0"/>
        <w:autoSpaceDN w:val="0"/>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533D61" w:rsidRPr="00D147EC" w:rsidRDefault="00533D61" w:rsidP="00533D61">
      <w:pPr>
        <w:autoSpaceDE w:val="0"/>
        <w:autoSpaceDN w:val="0"/>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533D61" w:rsidRPr="00D147EC" w:rsidRDefault="00533D61" w:rsidP="00533D61">
      <w:pPr>
        <w:autoSpaceDE w:val="0"/>
        <w:autoSpaceDN w:val="0"/>
        <w:adjustRightInd w:val="0"/>
        <w:ind w:firstLine="709"/>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533D61" w:rsidRPr="00D147EC" w:rsidRDefault="00533D61" w:rsidP="00533D61">
      <w:pPr>
        <w:autoSpaceDE w:val="0"/>
        <w:autoSpaceDN w:val="0"/>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6A1310" w:rsidRDefault="006A1310" w:rsidP="00533D61">
      <w:pPr>
        <w:ind w:firstLine="709"/>
        <w:jc w:val="both"/>
        <w:rPr>
          <w:b/>
          <w:sz w:val="24"/>
          <w:szCs w:val="24"/>
        </w:rPr>
      </w:pPr>
    </w:p>
    <w:p w:rsidR="00533D61" w:rsidRPr="00D147EC" w:rsidRDefault="00533D61" w:rsidP="00533D61">
      <w:pPr>
        <w:ind w:firstLine="709"/>
        <w:jc w:val="both"/>
        <w:rPr>
          <w:b/>
          <w:sz w:val="24"/>
          <w:szCs w:val="24"/>
        </w:rPr>
      </w:pPr>
      <w:r w:rsidRPr="00D147EC">
        <w:rPr>
          <w:b/>
          <w:sz w:val="24"/>
          <w:szCs w:val="24"/>
        </w:rPr>
        <w:t>Даты  и время начала и окончания, место приема ходатайств:</w:t>
      </w:r>
    </w:p>
    <w:p w:rsidR="00533D61" w:rsidRPr="00D147EC" w:rsidRDefault="00533D61" w:rsidP="00533D61">
      <w:pPr>
        <w:pStyle w:val="a5"/>
        <w:tabs>
          <w:tab w:val="num" w:pos="1134"/>
        </w:tabs>
        <w:ind w:firstLine="709"/>
        <w:rPr>
          <w:bCs/>
          <w:sz w:val="24"/>
          <w:szCs w:val="24"/>
        </w:rPr>
      </w:pPr>
      <w:r w:rsidRPr="00D147EC">
        <w:rPr>
          <w:sz w:val="24"/>
          <w:szCs w:val="24"/>
        </w:rPr>
        <w:t>Место приема - департамент строительства и архитектуры мэрии города Новосибирска.</w:t>
      </w:r>
    </w:p>
    <w:p w:rsidR="00533D61" w:rsidRPr="00D147EC" w:rsidRDefault="00533D61" w:rsidP="00533D61">
      <w:pPr>
        <w:pStyle w:val="a5"/>
        <w:ind w:firstLine="709"/>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533D61" w:rsidRPr="00D147EC" w:rsidRDefault="00533D61" w:rsidP="00533D61">
      <w:pPr>
        <w:ind w:firstLine="709"/>
        <w:jc w:val="both"/>
        <w:rPr>
          <w:sz w:val="24"/>
          <w:szCs w:val="24"/>
        </w:rPr>
      </w:pPr>
      <w:r w:rsidRPr="00D147EC">
        <w:rPr>
          <w:sz w:val="24"/>
          <w:szCs w:val="24"/>
        </w:rPr>
        <w:t>Адрес электронной почты:</w:t>
      </w:r>
    </w:p>
    <w:p w:rsidR="00533D61" w:rsidRPr="00D147EC" w:rsidRDefault="00533D61" w:rsidP="00533D61">
      <w:pPr>
        <w:ind w:firstLine="709"/>
        <w:jc w:val="both"/>
        <w:rPr>
          <w:sz w:val="24"/>
          <w:szCs w:val="24"/>
        </w:rPr>
      </w:pPr>
      <w:hyperlink r:id="rId10" w:history="1">
        <w:r w:rsidRPr="00D147EC">
          <w:rPr>
            <w:rStyle w:val="a3"/>
            <w:color w:val="auto"/>
            <w:sz w:val="24"/>
            <w:szCs w:val="24"/>
            <w:u w:val="none"/>
            <w:lang w:val="en-US"/>
          </w:rPr>
          <w:t>IChudakov</w:t>
        </w:r>
        <w:r w:rsidRPr="00D147EC">
          <w:rPr>
            <w:rStyle w:val="a3"/>
            <w:color w:val="auto"/>
            <w:sz w:val="24"/>
            <w:szCs w:val="24"/>
            <w:u w:val="none"/>
          </w:rPr>
          <w:t>@</w:t>
        </w:r>
        <w:r w:rsidRPr="00D147EC">
          <w:rPr>
            <w:rStyle w:val="a3"/>
            <w:color w:val="auto"/>
            <w:sz w:val="24"/>
            <w:szCs w:val="24"/>
            <w:u w:val="none"/>
            <w:lang w:val="en-US"/>
          </w:rPr>
          <w:t>admnsk</w:t>
        </w:r>
        <w:r w:rsidRPr="00D147EC">
          <w:rPr>
            <w:rStyle w:val="a3"/>
            <w:color w:val="auto"/>
            <w:sz w:val="24"/>
            <w:szCs w:val="24"/>
            <w:u w:val="none"/>
          </w:rPr>
          <w:t>.</w:t>
        </w:r>
        <w:r w:rsidRPr="00D147EC">
          <w:rPr>
            <w:rStyle w:val="a3"/>
            <w:color w:val="auto"/>
            <w:sz w:val="24"/>
            <w:szCs w:val="24"/>
            <w:u w:val="none"/>
            <w:lang w:val="en-US"/>
          </w:rPr>
          <w:t>ru</w:t>
        </w:r>
      </w:hyperlink>
      <w:r w:rsidRPr="00D147EC">
        <w:rPr>
          <w:sz w:val="24"/>
          <w:szCs w:val="24"/>
        </w:rPr>
        <w:t xml:space="preserve">; номер </w:t>
      </w:r>
      <w:r>
        <w:rPr>
          <w:sz w:val="24"/>
          <w:szCs w:val="24"/>
        </w:rPr>
        <w:t>контактного телефона: 227-52-68, 227-54-11</w:t>
      </w:r>
      <w:proofErr w:type="gramStart"/>
      <w:r>
        <w:rPr>
          <w:sz w:val="24"/>
          <w:szCs w:val="24"/>
        </w:rPr>
        <w:t>,  227</w:t>
      </w:r>
      <w:proofErr w:type="gramEnd"/>
      <w:r>
        <w:rPr>
          <w:sz w:val="24"/>
          <w:szCs w:val="24"/>
        </w:rPr>
        <w:t>-54-12</w:t>
      </w:r>
    </w:p>
    <w:p w:rsidR="00533D61" w:rsidRPr="00D147EC" w:rsidRDefault="00533D61" w:rsidP="00533D61">
      <w:pPr>
        <w:ind w:firstLine="709"/>
        <w:jc w:val="both"/>
        <w:rPr>
          <w:sz w:val="24"/>
          <w:szCs w:val="24"/>
        </w:rPr>
      </w:pPr>
      <w:r w:rsidRPr="00D147EC">
        <w:rPr>
          <w:i/>
          <w:sz w:val="24"/>
          <w:szCs w:val="24"/>
        </w:rPr>
        <w:t>Дата начала приема ходатайств</w:t>
      </w:r>
      <w:r w:rsidRPr="00D147EC">
        <w:rPr>
          <w:sz w:val="24"/>
          <w:szCs w:val="24"/>
        </w:rPr>
        <w:t xml:space="preserve"> - </w:t>
      </w:r>
      <w:r w:rsidR="0069218A">
        <w:rPr>
          <w:sz w:val="24"/>
          <w:szCs w:val="24"/>
        </w:rPr>
        <w:t>27</w:t>
      </w:r>
      <w:r>
        <w:rPr>
          <w:sz w:val="24"/>
          <w:szCs w:val="24"/>
        </w:rPr>
        <w:t>.</w:t>
      </w:r>
      <w:r w:rsidR="0069218A">
        <w:rPr>
          <w:sz w:val="24"/>
          <w:szCs w:val="24"/>
        </w:rPr>
        <w:t>03</w:t>
      </w:r>
      <w:r>
        <w:rPr>
          <w:sz w:val="24"/>
          <w:szCs w:val="24"/>
        </w:rPr>
        <w:t>.20</w:t>
      </w:r>
      <w:r w:rsidR="0069218A">
        <w:rPr>
          <w:sz w:val="24"/>
          <w:szCs w:val="24"/>
        </w:rPr>
        <w:t>20</w:t>
      </w:r>
      <w:r>
        <w:rPr>
          <w:sz w:val="24"/>
          <w:szCs w:val="24"/>
        </w:rPr>
        <w:t xml:space="preserve"> с 09-00 часов.</w:t>
      </w:r>
    </w:p>
    <w:p w:rsidR="00533D61" w:rsidRPr="00D147EC" w:rsidRDefault="00533D61" w:rsidP="00533D61">
      <w:pPr>
        <w:ind w:firstLine="709"/>
        <w:jc w:val="both"/>
        <w:rPr>
          <w:sz w:val="24"/>
          <w:szCs w:val="24"/>
        </w:rPr>
      </w:pPr>
      <w:r w:rsidRPr="00D147EC">
        <w:rPr>
          <w:i/>
          <w:sz w:val="24"/>
          <w:szCs w:val="24"/>
        </w:rPr>
        <w:t>Дата окончания приема ходатайств</w:t>
      </w:r>
      <w:r w:rsidRPr="00D147EC">
        <w:rPr>
          <w:sz w:val="24"/>
          <w:szCs w:val="24"/>
        </w:rPr>
        <w:t xml:space="preserve"> - </w:t>
      </w:r>
      <w:r w:rsidR="0069218A">
        <w:rPr>
          <w:sz w:val="24"/>
          <w:szCs w:val="24"/>
        </w:rPr>
        <w:t>14</w:t>
      </w:r>
      <w:r w:rsidRPr="00D147EC">
        <w:rPr>
          <w:sz w:val="24"/>
          <w:szCs w:val="24"/>
        </w:rPr>
        <w:t>.</w:t>
      </w:r>
      <w:r w:rsidR="0069218A">
        <w:rPr>
          <w:sz w:val="24"/>
          <w:szCs w:val="24"/>
        </w:rPr>
        <w:t>04</w:t>
      </w:r>
      <w:r>
        <w:rPr>
          <w:sz w:val="24"/>
          <w:szCs w:val="24"/>
        </w:rPr>
        <w:t>.20</w:t>
      </w:r>
      <w:r w:rsidR="0069218A">
        <w:rPr>
          <w:sz w:val="24"/>
          <w:szCs w:val="24"/>
        </w:rPr>
        <w:t>20</w:t>
      </w:r>
      <w:r w:rsidRPr="00D147EC">
        <w:rPr>
          <w:sz w:val="24"/>
          <w:szCs w:val="24"/>
        </w:rPr>
        <w:t xml:space="preserve"> до 17-00.</w:t>
      </w:r>
    </w:p>
    <w:p w:rsidR="006A1310" w:rsidRDefault="006A1310" w:rsidP="00533D61">
      <w:pPr>
        <w:suppressAutoHyphens w:val="0"/>
        <w:autoSpaceDE w:val="0"/>
        <w:autoSpaceDN w:val="0"/>
        <w:adjustRightInd w:val="0"/>
        <w:ind w:firstLine="709"/>
        <w:jc w:val="both"/>
        <w:rPr>
          <w:rFonts w:eastAsiaTheme="minorHAnsi"/>
          <w:b/>
          <w:sz w:val="24"/>
          <w:szCs w:val="24"/>
          <w:lang w:eastAsia="en-US"/>
        </w:rPr>
      </w:pPr>
    </w:p>
    <w:p w:rsidR="00533D61" w:rsidRPr="00D147EC" w:rsidRDefault="00533D61" w:rsidP="00533D61">
      <w:pPr>
        <w:suppressAutoHyphens w:val="0"/>
        <w:autoSpaceDE w:val="0"/>
        <w:autoSpaceDN w:val="0"/>
        <w:adjustRightInd w:val="0"/>
        <w:ind w:firstLine="709"/>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533D61" w:rsidRPr="00D147EC" w:rsidRDefault="0069218A" w:rsidP="00533D61">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17</w:t>
      </w:r>
      <w:r w:rsidR="00533D61" w:rsidRPr="00D147EC">
        <w:rPr>
          <w:rFonts w:eastAsiaTheme="minorHAnsi"/>
          <w:sz w:val="24"/>
          <w:szCs w:val="24"/>
          <w:lang w:eastAsia="en-US"/>
        </w:rPr>
        <w:t>.</w:t>
      </w:r>
      <w:r>
        <w:rPr>
          <w:rFonts w:eastAsiaTheme="minorHAnsi"/>
          <w:sz w:val="24"/>
          <w:szCs w:val="24"/>
          <w:lang w:eastAsia="en-US"/>
        </w:rPr>
        <w:t>04</w:t>
      </w:r>
      <w:r w:rsidR="00533D61">
        <w:rPr>
          <w:rFonts w:eastAsiaTheme="minorHAnsi"/>
          <w:sz w:val="24"/>
          <w:szCs w:val="24"/>
          <w:lang w:eastAsia="en-US"/>
        </w:rPr>
        <w:t>.20</w:t>
      </w:r>
      <w:r>
        <w:rPr>
          <w:rFonts w:eastAsiaTheme="minorHAnsi"/>
          <w:sz w:val="24"/>
          <w:szCs w:val="24"/>
          <w:lang w:eastAsia="en-US"/>
        </w:rPr>
        <w:t>20</w:t>
      </w:r>
      <w:r w:rsidR="00533D61" w:rsidRPr="00D147EC">
        <w:rPr>
          <w:rFonts w:eastAsiaTheme="minorHAnsi"/>
          <w:sz w:val="24"/>
          <w:szCs w:val="24"/>
          <w:lang w:eastAsia="en-US"/>
        </w:rPr>
        <w:t xml:space="preserve">, </w:t>
      </w:r>
      <w:r w:rsidR="00533D61">
        <w:rPr>
          <w:rFonts w:eastAsiaTheme="minorHAnsi"/>
          <w:sz w:val="24"/>
          <w:szCs w:val="24"/>
          <w:lang w:eastAsia="en-US"/>
        </w:rPr>
        <w:t xml:space="preserve">в </w:t>
      </w:r>
      <w:r>
        <w:rPr>
          <w:rFonts w:eastAsiaTheme="minorHAnsi"/>
          <w:sz w:val="24"/>
          <w:szCs w:val="24"/>
          <w:lang w:eastAsia="en-US"/>
        </w:rPr>
        <w:t>10</w:t>
      </w:r>
      <w:r w:rsidR="00533D61" w:rsidRPr="00D147EC">
        <w:rPr>
          <w:rFonts w:eastAsiaTheme="minorHAnsi"/>
          <w:sz w:val="24"/>
          <w:szCs w:val="24"/>
          <w:lang w:eastAsia="en-US"/>
        </w:rPr>
        <w:t>-</w:t>
      </w:r>
      <w:r>
        <w:rPr>
          <w:rFonts w:eastAsiaTheme="minorHAnsi"/>
          <w:sz w:val="24"/>
          <w:szCs w:val="24"/>
          <w:lang w:eastAsia="en-US"/>
        </w:rPr>
        <w:t>0</w:t>
      </w:r>
      <w:r w:rsidR="00533D61" w:rsidRPr="00D147EC">
        <w:rPr>
          <w:rFonts w:eastAsiaTheme="minorHAnsi"/>
          <w:sz w:val="24"/>
          <w:szCs w:val="24"/>
          <w:lang w:eastAsia="en-US"/>
        </w:rPr>
        <w:t>0</w:t>
      </w:r>
      <w:r w:rsidR="00533D61">
        <w:rPr>
          <w:rFonts w:eastAsiaTheme="minorHAnsi"/>
          <w:sz w:val="24"/>
          <w:szCs w:val="24"/>
          <w:lang w:eastAsia="en-US"/>
        </w:rPr>
        <w:t xml:space="preserve"> часов</w:t>
      </w:r>
      <w:r w:rsidR="00533D61" w:rsidRPr="00D147EC">
        <w:rPr>
          <w:rFonts w:eastAsiaTheme="minorHAnsi"/>
          <w:sz w:val="24"/>
          <w:szCs w:val="24"/>
          <w:lang w:eastAsia="en-US"/>
        </w:rPr>
        <w:t>, Красный проспект, 50, кабинет 230.</w:t>
      </w:r>
    </w:p>
    <w:p w:rsidR="00533D61" w:rsidRDefault="00533D61" w:rsidP="00533D61"/>
    <w:p w:rsidR="00EB370B" w:rsidRDefault="00EB370B"/>
    <w:sectPr w:rsidR="00EB370B" w:rsidSect="006A1310">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D61"/>
    <w:rsid w:val="00003872"/>
    <w:rsid w:val="00022C0D"/>
    <w:rsid w:val="000510A0"/>
    <w:rsid w:val="000F1ED3"/>
    <w:rsid w:val="00165083"/>
    <w:rsid w:val="002A4597"/>
    <w:rsid w:val="002C3485"/>
    <w:rsid w:val="002E6CC7"/>
    <w:rsid w:val="00527520"/>
    <w:rsid w:val="00532BC9"/>
    <w:rsid w:val="00533D61"/>
    <w:rsid w:val="00606516"/>
    <w:rsid w:val="006419F5"/>
    <w:rsid w:val="0069218A"/>
    <w:rsid w:val="006A1310"/>
    <w:rsid w:val="006D21D5"/>
    <w:rsid w:val="00AD33C3"/>
    <w:rsid w:val="00AE069F"/>
    <w:rsid w:val="00B37E9E"/>
    <w:rsid w:val="00BA4D3A"/>
    <w:rsid w:val="00C0616F"/>
    <w:rsid w:val="00C5356C"/>
    <w:rsid w:val="00CA33E5"/>
    <w:rsid w:val="00EB370B"/>
    <w:rsid w:val="00FB73DF"/>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33D6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3D61"/>
    <w:rPr>
      <w:color w:val="0000FF"/>
      <w:u w:val="single"/>
    </w:rPr>
  </w:style>
  <w:style w:type="character" w:styleId="a4">
    <w:name w:val="Book Title"/>
    <w:qFormat/>
    <w:rsid w:val="00533D61"/>
    <w:rPr>
      <w:b/>
      <w:bCs/>
      <w:smallCaps/>
      <w:spacing w:val="5"/>
    </w:rPr>
  </w:style>
  <w:style w:type="paragraph" w:styleId="a5">
    <w:name w:val="Body Text"/>
    <w:basedOn w:val="a"/>
    <w:link w:val="a6"/>
    <w:rsid w:val="00533D61"/>
    <w:pPr>
      <w:jc w:val="both"/>
    </w:pPr>
  </w:style>
  <w:style w:type="character" w:customStyle="1" w:styleId="a6">
    <w:name w:val="Основной текст Знак"/>
    <w:basedOn w:val="a0"/>
    <w:link w:val="a5"/>
    <w:rsid w:val="00533D61"/>
    <w:rPr>
      <w:rFonts w:ascii="Times New Roman" w:eastAsia="Times New Roman" w:hAnsi="Times New Roman" w:cs="Times New Roman"/>
      <w:sz w:val="20"/>
      <w:szCs w:val="20"/>
      <w:lang w:eastAsia="ar-SA"/>
    </w:rPr>
  </w:style>
  <w:style w:type="paragraph" w:styleId="a7">
    <w:name w:val="List Paragraph"/>
    <w:basedOn w:val="a"/>
    <w:uiPriority w:val="34"/>
    <w:qFormat/>
    <w:rsid w:val="00533D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D755253C064803F5FEF96F83A9A0ED323D6B6F1087DCAE18EC6E44Dp4c4J"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9D0B2F1087DCAE18EC6E44Dp4c4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fontTable" Target="fontTable.xm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mailto:akolmakov@admnsk.ru" TargetMode="External"/><Relationship Id="rId4" Type="http://schemas.openxmlformats.org/officeDocument/2006/relationships/webSettings" Target="webSettings.xml"/><Relationship Id="rId9" Type="http://schemas.openxmlformats.org/officeDocument/2006/relationships/hyperlink" Target="consultantplus://offline/ref=A0FD755253C064803F5FEF96F83A9A0ED323D8B4FB0A7DCAE18EC6E44Dp4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4</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isutkina</cp:lastModifiedBy>
  <cp:revision>4</cp:revision>
  <dcterms:created xsi:type="dcterms:W3CDTF">2020-03-23T03:18:00Z</dcterms:created>
  <dcterms:modified xsi:type="dcterms:W3CDTF">2020-03-24T03:30:00Z</dcterms:modified>
</cp:coreProperties>
</file>