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47474B" w:rsidRPr="00853BAF" w:rsidTr="00980E8C">
        <w:tc>
          <w:tcPr>
            <w:tcW w:w="9923" w:type="dxa"/>
          </w:tcPr>
          <w:p w:rsidR="0047474B" w:rsidRPr="00853BAF" w:rsidRDefault="0047474B" w:rsidP="00980E8C">
            <w:pPr>
              <w:ind w:left="4536"/>
              <w:outlineLvl w:val="0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85775" cy="485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74B" w:rsidRPr="00853BAF" w:rsidRDefault="0047474B" w:rsidP="00980E8C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47474B" w:rsidRPr="00853BAF" w:rsidRDefault="0047474B" w:rsidP="00980E8C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47474B" w:rsidRPr="00853BAF" w:rsidRDefault="0047474B" w:rsidP="00980E8C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47474B" w:rsidRPr="00853BAF" w:rsidRDefault="0047474B" w:rsidP="00980E8C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47474B" w:rsidRPr="00853BAF" w:rsidRDefault="0047474B" w:rsidP="00980E8C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47474B" w:rsidRPr="00853BAF" w:rsidRDefault="0047474B" w:rsidP="00980E8C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DA23D1">
              <w:rPr>
                <w:u w:val="single"/>
              </w:rPr>
              <w:t>28.02.2017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</w:t>
            </w:r>
            <w:r w:rsidR="00DA23D1">
              <w:rPr>
                <w:u w:val="single"/>
              </w:rPr>
              <w:t>785</w:t>
            </w:r>
            <w:bookmarkStart w:id="0" w:name="_GoBack"/>
            <w:bookmarkEnd w:id="0"/>
            <w:r w:rsidRPr="00853BAF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853BAF">
              <w:rPr>
                <w:u w:val="single"/>
              </w:rPr>
              <w:t xml:space="preserve"> </w:t>
            </w:r>
            <w:r w:rsidRPr="00853BAF">
              <w:rPr>
                <w:u w:val="single"/>
              </w:rPr>
              <w:tab/>
            </w:r>
          </w:p>
          <w:p w:rsidR="0047474B" w:rsidRPr="00853BAF" w:rsidRDefault="0047474B" w:rsidP="00980E8C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210"/>
      </w:tblGrid>
      <w:tr w:rsidR="00B67B9D" w:rsidRPr="008D7EFF" w:rsidTr="0047474B">
        <w:trPr>
          <w:trHeight w:val="540"/>
        </w:trPr>
        <w:tc>
          <w:tcPr>
            <w:tcW w:w="5210" w:type="dxa"/>
            <w:hideMark/>
          </w:tcPr>
          <w:p w:rsidR="00B67B9D" w:rsidRPr="008D7EFF" w:rsidRDefault="00B67B9D" w:rsidP="0047474B">
            <w:pPr>
              <w:widowControl/>
              <w:jc w:val="both"/>
            </w:pPr>
            <w:r w:rsidRPr="008D7EFF">
              <w:t>Об отказе в предоставлении разрешени</w:t>
            </w:r>
            <w:r w:rsidR="0047474B">
              <w:t>я</w:t>
            </w:r>
            <w:r w:rsidRPr="008D7EFF">
              <w:t xml:space="preserve"> на отклонение от предельных параметров разрешенного строительства, реконс</w:t>
            </w:r>
            <w:r w:rsidRPr="008D7EFF">
              <w:t>т</w:t>
            </w:r>
            <w:r w:rsidRPr="008D7EFF">
              <w:t>рукции объектов капитального строительства</w:t>
            </w:r>
          </w:p>
        </w:tc>
      </w:tr>
    </w:tbl>
    <w:p w:rsidR="0047474B" w:rsidRDefault="0047474B" w:rsidP="0047474B">
      <w:pPr>
        <w:ind w:firstLine="709"/>
        <w:jc w:val="both"/>
      </w:pPr>
    </w:p>
    <w:p w:rsidR="0047474B" w:rsidRDefault="0047474B" w:rsidP="0047474B">
      <w:pPr>
        <w:ind w:firstLine="709"/>
        <w:jc w:val="both"/>
      </w:pPr>
    </w:p>
    <w:p w:rsidR="00B67B9D" w:rsidRPr="008D7EFF" w:rsidRDefault="00B67B9D" w:rsidP="0047474B">
      <w:pPr>
        <w:ind w:firstLine="709"/>
        <w:jc w:val="both"/>
      </w:pPr>
      <w:proofErr w:type="gramStart"/>
      <w:r w:rsidRPr="008D7EFF">
        <w:t>В соответствии со статьей 40 Градостроительного кодекса Российской Ф</w:t>
      </w:r>
      <w:r w:rsidRPr="008D7EFF">
        <w:t>е</w:t>
      </w:r>
      <w:r w:rsidRPr="008D7EFF">
        <w:t>дерации, решением Совета депутатов города Новосибирска от 24.06.2009 №</w:t>
      </w:r>
      <w:r w:rsidRPr="008D7EFF">
        <w:rPr>
          <w:lang w:val="en-US"/>
        </w:rPr>
        <w:t> </w:t>
      </w:r>
      <w:r w:rsidRPr="008D7EFF">
        <w:t>1288 «О Правилах землепользования и застройки города Новосибирска», пунктом 2.13 административного регламента предоставления муниципальной услуги по пр</w:t>
      </w:r>
      <w:r w:rsidRPr="008D7EFF">
        <w:t>е</w:t>
      </w:r>
      <w:r w:rsidRPr="008D7EFF">
        <w:t>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</w:t>
      </w:r>
      <w:r w:rsidRPr="008D7EFF">
        <w:t>н</w:t>
      </w:r>
      <w:r w:rsidRPr="008D7EFF">
        <w:t xml:space="preserve">ного постановлением мэрии города Новосибирска от 10.06.2013 № 5459, на основании заключения </w:t>
      </w:r>
      <w:r w:rsidRPr="008D7EFF">
        <w:rPr>
          <w:spacing w:val="-3"/>
        </w:rPr>
        <w:t>по результатам публичных слушаний</w:t>
      </w:r>
      <w:proofErr w:type="gramEnd"/>
      <w:r w:rsidRPr="008D7EFF">
        <w:rPr>
          <w:spacing w:val="-3"/>
        </w:rPr>
        <w:t xml:space="preserve"> </w:t>
      </w:r>
      <w:proofErr w:type="gramStart"/>
      <w:r w:rsidRPr="008D7EFF">
        <w:rPr>
          <w:spacing w:val="-3"/>
        </w:rPr>
        <w:t>по вопросам предо</w:t>
      </w:r>
      <w:r w:rsidRPr="008D7EFF">
        <w:rPr>
          <w:spacing w:val="-3"/>
        </w:rPr>
        <w:t>с</w:t>
      </w:r>
      <w:r w:rsidRPr="008D7EFF">
        <w:rPr>
          <w:spacing w:val="-3"/>
        </w:rPr>
        <w:t xml:space="preserve">тавления разрешений на отклонение от предельных параметров разрешенного строительства, </w:t>
      </w:r>
      <w:r w:rsidRPr="008D7EFF">
        <w:rPr>
          <w:spacing w:val="-2"/>
        </w:rPr>
        <w:t>реконструкции объекто</w:t>
      </w:r>
      <w:r w:rsidR="003D7406" w:rsidRPr="008D7EFF">
        <w:rPr>
          <w:spacing w:val="-2"/>
        </w:rPr>
        <w:t xml:space="preserve">в капитального строительства </w:t>
      </w:r>
      <w:r w:rsidR="0047474B">
        <w:rPr>
          <w:spacing w:val="-2"/>
        </w:rPr>
        <w:br/>
      </w:r>
      <w:r w:rsidR="003D7406" w:rsidRPr="008D7EFF">
        <w:rPr>
          <w:spacing w:val="-2"/>
        </w:rPr>
        <w:t xml:space="preserve">от </w:t>
      </w:r>
      <w:r w:rsidR="004C65B4">
        <w:rPr>
          <w:spacing w:val="-2"/>
        </w:rPr>
        <w:t>07.02</w:t>
      </w:r>
      <w:r w:rsidRPr="008D7EFF">
        <w:rPr>
          <w:spacing w:val="-2"/>
        </w:rPr>
        <w:t>.201</w:t>
      </w:r>
      <w:r w:rsidR="007379B5">
        <w:rPr>
          <w:spacing w:val="-2"/>
        </w:rPr>
        <w:t>7</w:t>
      </w:r>
      <w:r w:rsidRPr="008D7EFF">
        <w:rPr>
          <w:spacing w:val="-2"/>
        </w:rPr>
        <w:t>, р</w:t>
      </w:r>
      <w:r w:rsidRPr="008D7EFF">
        <w:t>екомендаций комиссии по подготовке проекта правил землепол</w:t>
      </w:r>
      <w:r w:rsidRPr="008D7EFF">
        <w:t>ь</w:t>
      </w:r>
      <w:r w:rsidRPr="008D7EFF">
        <w:t>зования и застройки города Новосибирска о предоставлении и</w:t>
      </w:r>
      <w:r w:rsidR="0047474B">
        <w:t xml:space="preserve"> </w:t>
      </w:r>
      <w:r w:rsidRPr="008D7EFF">
        <w:t>об отказе в предоставлении разрешений на отклонение от предельных параметров разреше</w:t>
      </w:r>
      <w:r w:rsidRPr="008D7EFF">
        <w:t>н</w:t>
      </w:r>
      <w:r w:rsidRPr="008D7EFF">
        <w:t>ного строительства, реконструкции объектов</w:t>
      </w:r>
      <w:r w:rsidR="00EE41BE" w:rsidRPr="008D7EFF">
        <w:t xml:space="preserve"> капитального строительства </w:t>
      </w:r>
      <w:r w:rsidR="0047474B">
        <w:br/>
      </w:r>
      <w:r w:rsidR="00EE41BE" w:rsidRPr="008D7EFF">
        <w:t xml:space="preserve">от </w:t>
      </w:r>
      <w:r w:rsidR="004C65B4">
        <w:t>1</w:t>
      </w:r>
      <w:r w:rsidR="00373A07">
        <w:t>4</w:t>
      </w:r>
      <w:r w:rsidR="007379B5">
        <w:t>.0</w:t>
      </w:r>
      <w:r w:rsidR="004C65B4">
        <w:t>2</w:t>
      </w:r>
      <w:r w:rsidR="007379B5">
        <w:t>.2017</w:t>
      </w:r>
      <w:r w:rsidRPr="008D7EFF">
        <w:t>, руководствуясь Уставом города Новосибирска, ПОСТАНОВЛЯЮ:</w:t>
      </w:r>
      <w:proofErr w:type="gramEnd"/>
    </w:p>
    <w:p w:rsidR="004C65B4" w:rsidRDefault="00B67B9D" w:rsidP="00E7278D">
      <w:pPr>
        <w:pStyle w:val="a7"/>
        <w:ind w:firstLine="709"/>
      </w:pPr>
      <w:r w:rsidRPr="008D7EFF">
        <w:t>1. </w:t>
      </w:r>
      <w:proofErr w:type="gramStart"/>
      <w:r w:rsidRPr="008D7EFF">
        <w:t xml:space="preserve">Отказать в предоставлении разрешения на </w:t>
      </w:r>
      <w:r w:rsidRPr="008D7EFF">
        <w:rPr>
          <w:spacing w:val="-3"/>
        </w:rPr>
        <w:t>отклонение от предельных п</w:t>
      </w:r>
      <w:r w:rsidRPr="008D7EFF">
        <w:rPr>
          <w:spacing w:val="-3"/>
        </w:rPr>
        <w:t>а</w:t>
      </w:r>
      <w:r w:rsidRPr="008D7EFF">
        <w:rPr>
          <w:spacing w:val="-3"/>
        </w:rPr>
        <w:t xml:space="preserve">раметров разрешенного строительства, </w:t>
      </w:r>
      <w:r w:rsidRPr="008D7EFF">
        <w:rPr>
          <w:spacing w:val="-2"/>
        </w:rPr>
        <w:t>реконструкции объектов капитального строительства</w:t>
      </w:r>
      <w:r w:rsidR="00E7278D">
        <w:rPr>
          <w:bCs/>
        </w:rPr>
        <w:t xml:space="preserve"> о</w:t>
      </w:r>
      <w:r w:rsidR="004C65B4" w:rsidRPr="000C6FFF">
        <w:rPr>
          <w:bCs/>
        </w:rPr>
        <w:t>бществу с ограниченной ответственностью «Производственный участок совместного объединения»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</w:t>
      </w:r>
      <w:r w:rsidR="004C65B4" w:rsidRPr="000C6FFF">
        <w:rPr>
          <w:bCs/>
        </w:rPr>
        <w:t>е</w:t>
      </w:r>
      <w:r w:rsidR="004C65B4" w:rsidRPr="000C6FFF">
        <w:rPr>
          <w:bCs/>
        </w:rPr>
        <w:t>лами которого запрещено строительство зданий, строений, сооружений, с кадастровым номером 54:35</w:t>
      </w:r>
      <w:proofErr w:type="gramEnd"/>
      <w:r w:rsidR="004C65B4" w:rsidRPr="000C6FFF">
        <w:rPr>
          <w:bCs/>
        </w:rPr>
        <w:t xml:space="preserve">:031075:11 площадью 0,1610 га, расположенного по адресу: </w:t>
      </w:r>
      <w:proofErr w:type="gramStart"/>
      <w:r w:rsidR="004C65B4" w:rsidRPr="000C6FFF">
        <w:rPr>
          <w:bCs/>
        </w:rPr>
        <w:t xml:space="preserve">Российская Федерация, Новосибирская область, город Новосибирск, ул. Кубовая (зона производственной деятельности (П-1)), с 3 м до 0 м со стороны земельного участка с кадастровым номером 54:35:031075:9 </w:t>
      </w:r>
      <w:r w:rsidR="004C65B4" w:rsidRPr="000C6FFF">
        <w:t xml:space="preserve">в связи с тем, что </w:t>
      </w:r>
      <w:r w:rsidR="0047474B">
        <w:t xml:space="preserve">          </w:t>
      </w:r>
      <w:r w:rsidR="004C65B4" w:rsidRPr="000C6FFF">
        <w:t>отсутствуют обоснования, предусмотренные частью 1 статьи 40 Градостроител</w:t>
      </w:r>
      <w:r w:rsidR="004C65B4" w:rsidRPr="000C6FFF">
        <w:t>ь</w:t>
      </w:r>
      <w:r w:rsidR="004C65B4" w:rsidRPr="000C6FFF">
        <w:t>ного кодекса Р</w:t>
      </w:r>
      <w:r w:rsidR="0047474B">
        <w:t xml:space="preserve">оссийской </w:t>
      </w:r>
      <w:r w:rsidR="004C65B4" w:rsidRPr="000C6FFF">
        <w:t>Ф</w:t>
      </w:r>
      <w:r w:rsidR="0047474B">
        <w:t>едерации</w:t>
      </w:r>
      <w:r w:rsidR="004C65B4" w:rsidRPr="000C6FFF">
        <w:t>, а именно конфигурация земельного участка не является неблагоприятной для застрой</w:t>
      </w:r>
      <w:r w:rsidR="009A7728">
        <w:t>ки</w:t>
      </w:r>
      <w:r w:rsidR="004C65B4" w:rsidRPr="000C6FFF">
        <w:t>.</w:t>
      </w:r>
      <w:proofErr w:type="gramEnd"/>
    </w:p>
    <w:p w:rsidR="0047474B" w:rsidRDefault="0047474B" w:rsidP="007379B5">
      <w:pPr>
        <w:ind w:firstLine="708"/>
        <w:jc w:val="both"/>
      </w:pPr>
    </w:p>
    <w:p w:rsidR="0047474B" w:rsidRDefault="0047474B" w:rsidP="007379B5">
      <w:pPr>
        <w:ind w:firstLine="708"/>
        <w:jc w:val="both"/>
      </w:pPr>
    </w:p>
    <w:p w:rsidR="00525A63" w:rsidRPr="008D7EFF" w:rsidRDefault="00E078CE" w:rsidP="007379B5">
      <w:pPr>
        <w:ind w:firstLine="708"/>
        <w:jc w:val="both"/>
        <w:rPr>
          <w:spacing w:val="-8"/>
        </w:rPr>
      </w:pPr>
      <w:r w:rsidRPr="008D7EFF">
        <w:lastRenderedPageBreak/>
        <w:t xml:space="preserve">2. Департаменту строительства и архитектуры мэрии города Новосибирска </w:t>
      </w:r>
      <w:proofErr w:type="gramStart"/>
      <w:r w:rsidRPr="008D7EFF">
        <w:t>разместить постановление</w:t>
      </w:r>
      <w:proofErr w:type="gramEnd"/>
      <w:r w:rsidRPr="008D7EFF">
        <w:t xml:space="preserve"> на официальном сайте города Новосибирска в инфо</w:t>
      </w:r>
      <w:r w:rsidRPr="008D7EFF">
        <w:t>р</w:t>
      </w:r>
      <w:r w:rsidRPr="008D7EFF">
        <w:t xml:space="preserve">мационно-телекоммуникационной сети «Интернет». </w:t>
      </w:r>
    </w:p>
    <w:p w:rsidR="00E078CE" w:rsidRPr="008D7EFF" w:rsidRDefault="00E078CE" w:rsidP="00E078CE">
      <w:pPr>
        <w:ind w:firstLine="709"/>
        <w:jc w:val="both"/>
      </w:pPr>
      <w:r w:rsidRPr="008D7EFF">
        <w:t>3. Департаменту информационной политики мэрии города Новосибирска обеспечить опубликование постановления.</w:t>
      </w:r>
    </w:p>
    <w:p w:rsidR="003804A5" w:rsidRPr="008D7EFF" w:rsidRDefault="00E078CE" w:rsidP="00E078CE">
      <w:pPr>
        <w:ind w:firstLine="709"/>
        <w:jc w:val="both"/>
      </w:pPr>
      <w:r w:rsidRPr="008D7EFF">
        <w:t>4. </w:t>
      </w:r>
      <w:proofErr w:type="gramStart"/>
      <w:r w:rsidRPr="008D7EFF">
        <w:t>Контроль за</w:t>
      </w:r>
      <w:proofErr w:type="gramEnd"/>
      <w:r w:rsidRPr="008D7EFF">
        <w:t xml:space="preserve"> исполнением постановления возложить на заместителя мэра </w:t>
      </w:r>
      <w:r w:rsidR="00C42FAB" w:rsidRPr="008D7EFF">
        <w:t xml:space="preserve">города Новосибирска </w:t>
      </w:r>
      <w:r w:rsidRPr="008D7EFF">
        <w:t>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47474B" w:rsidRPr="00106B12" w:rsidTr="00F77532">
        <w:tc>
          <w:tcPr>
            <w:tcW w:w="6946" w:type="dxa"/>
          </w:tcPr>
          <w:p w:rsidR="0047474B" w:rsidRPr="00106B12" w:rsidRDefault="0047474B" w:rsidP="00614F44">
            <w:pPr>
              <w:spacing w:before="600"/>
              <w:ind w:firstLine="34"/>
              <w:jc w:val="both"/>
            </w:pPr>
            <w:r>
              <w:t>Мэр</w:t>
            </w:r>
            <w:r w:rsidRPr="00106B12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47474B" w:rsidRPr="00F77532" w:rsidRDefault="0047474B" w:rsidP="00F77532">
            <w:pPr>
              <w:pStyle w:val="7"/>
              <w:spacing w:before="0" w:line="240" w:lineRule="auto"/>
              <w:ind w:left="1298" w:right="57" w:hanging="1298"/>
              <w:jc w:val="right"/>
            </w:pPr>
            <w:r w:rsidRPr="00F77532">
              <w:t>А. Е. Локоть</w:t>
            </w:r>
          </w:p>
        </w:tc>
      </w:tr>
    </w:tbl>
    <w:p w:rsidR="00780C3D" w:rsidRPr="008D7EFF" w:rsidRDefault="00780C3D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47474B" w:rsidRDefault="0047474B" w:rsidP="003F2E1E">
      <w:pPr>
        <w:widowControl/>
        <w:suppressAutoHyphens/>
        <w:spacing w:line="240" w:lineRule="atLeast"/>
      </w:pPr>
    </w:p>
    <w:p w:rsidR="0047474B" w:rsidRDefault="0047474B" w:rsidP="003F2E1E">
      <w:pPr>
        <w:widowControl/>
        <w:suppressAutoHyphens/>
        <w:spacing w:line="240" w:lineRule="atLeast"/>
      </w:pPr>
    </w:p>
    <w:p w:rsidR="0047474B" w:rsidRDefault="0047474B" w:rsidP="003F2E1E">
      <w:pPr>
        <w:widowControl/>
        <w:suppressAutoHyphens/>
        <w:spacing w:line="240" w:lineRule="atLeast"/>
      </w:pPr>
    </w:p>
    <w:p w:rsidR="0047474B" w:rsidRDefault="0047474B" w:rsidP="003F2E1E">
      <w:pPr>
        <w:widowControl/>
        <w:suppressAutoHyphens/>
        <w:spacing w:line="240" w:lineRule="atLeast"/>
      </w:pPr>
    </w:p>
    <w:p w:rsidR="0047474B" w:rsidRDefault="0047474B" w:rsidP="003F2E1E">
      <w:pPr>
        <w:widowControl/>
        <w:suppressAutoHyphens/>
        <w:spacing w:line="240" w:lineRule="atLeast"/>
      </w:pPr>
    </w:p>
    <w:p w:rsidR="0047474B" w:rsidRDefault="0047474B" w:rsidP="003F2E1E">
      <w:pPr>
        <w:widowControl/>
        <w:suppressAutoHyphens/>
        <w:spacing w:line="240" w:lineRule="atLeast"/>
      </w:pPr>
    </w:p>
    <w:p w:rsidR="009A7728" w:rsidRDefault="009A7728" w:rsidP="003F2E1E">
      <w:pPr>
        <w:widowControl/>
        <w:suppressAutoHyphens/>
        <w:spacing w:line="240" w:lineRule="atLeast"/>
      </w:pPr>
    </w:p>
    <w:p w:rsidR="009A7728" w:rsidRDefault="009A7728" w:rsidP="003F2E1E">
      <w:pPr>
        <w:widowControl/>
        <w:suppressAutoHyphens/>
        <w:spacing w:line="240" w:lineRule="atLeast"/>
      </w:pPr>
    </w:p>
    <w:p w:rsidR="009A7728" w:rsidRDefault="009A7728" w:rsidP="003F2E1E">
      <w:pPr>
        <w:widowControl/>
        <w:suppressAutoHyphens/>
        <w:spacing w:line="240" w:lineRule="atLeast"/>
      </w:pPr>
    </w:p>
    <w:p w:rsidR="004C65B4" w:rsidRDefault="004C65B4" w:rsidP="003F2E1E">
      <w:pPr>
        <w:widowControl/>
        <w:suppressAutoHyphens/>
        <w:spacing w:line="240" w:lineRule="atLeast"/>
      </w:pPr>
    </w:p>
    <w:p w:rsidR="003F2E1E" w:rsidRPr="00EB5070" w:rsidRDefault="004C65B4" w:rsidP="003F2E1E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Котова</w:t>
      </w:r>
    </w:p>
    <w:p w:rsidR="003F2E1E" w:rsidRPr="00EB5070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EB5070">
        <w:rPr>
          <w:sz w:val="24"/>
          <w:szCs w:val="24"/>
        </w:rPr>
        <w:t>22750</w:t>
      </w:r>
      <w:r w:rsidR="004C65B4">
        <w:rPr>
          <w:sz w:val="24"/>
          <w:szCs w:val="24"/>
        </w:rPr>
        <w:t>56</w:t>
      </w:r>
    </w:p>
    <w:p w:rsidR="003D7406" w:rsidRPr="00EB5070" w:rsidRDefault="003F2E1E" w:rsidP="0047474B">
      <w:pPr>
        <w:rPr>
          <w:sz w:val="24"/>
          <w:szCs w:val="24"/>
        </w:rPr>
      </w:pPr>
      <w:proofErr w:type="spellStart"/>
      <w:r w:rsidRPr="00EB5070">
        <w:rPr>
          <w:sz w:val="24"/>
          <w:szCs w:val="24"/>
        </w:rPr>
        <w:t>ГУАиГ</w:t>
      </w:r>
      <w:proofErr w:type="spellEnd"/>
    </w:p>
    <w:sectPr w:rsidR="003D7406" w:rsidRPr="00EB5070" w:rsidSect="0047474B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35" w:rsidRDefault="006A3235" w:rsidP="00E10E89">
      <w:r>
        <w:separator/>
      </w:r>
    </w:p>
  </w:endnote>
  <w:endnote w:type="continuationSeparator" w:id="0">
    <w:p w:rsidR="006A3235" w:rsidRDefault="006A3235" w:rsidP="00E1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35" w:rsidRDefault="006A3235" w:rsidP="00E10E89">
      <w:r>
        <w:separator/>
      </w:r>
    </w:p>
  </w:footnote>
  <w:footnote w:type="continuationSeparator" w:id="0">
    <w:p w:rsidR="006A3235" w:rsidRDefault="006A3235" w:rsidP="00E1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47474B" w:rsidRDefault="00AC4AFE" w:rsidP="0047474B">
    <w:pPr>
      <w:pStyle w:val="a5"/>
      <w:framePr w:h="378" w:hRule="exact" w:wrap="auto" w:vAnchor="text" w:hAnchor="margin" w:xAlign="center" w:y="-152"/>
      <w:widowControl/>
      <w:rPr>
        <w:rStyle w:val="ab"/>
        <w:sz w:val="24"/>
      </w:rPr>
    </w:pPr>
    <w:r w:rsidRPr="0047474B">
      <w:rPr>
        <w:rStyle w:val="ab"/>
        <w:sz w:val="24"/>
      </w:rPr>
      <w:fldChar w:fldCharType="begin"/>
    </w:r>
    <w:r w:rsidR="00887351" w:rsidRPr="0047474B">
      <w:rPr>
        <w:rStyle w:val="ab"/>
        <w:sz w:val="24"/>
      </w:rPr>
      <w:instrText xml:space="preserve">PAGE  </w:instrText>
    </w:r>
    <w:r w:rsidRPr="0047474B">
      <w:rPr>
        <w:rStyle w:val="ab"/>
        <w:sz w:val="24"/>
      </w:rPr>
      <w:fldChar w:fldCharType="separate"/>
    </w:r>
    <w:r w:rsidR="00DF11E5">
      <w:rPr>
        <w:rStyle w:val="ab"/>
        <w:noProof/>
        <w:sz w:val="24"/>
      </w:rPr>
      <w:t>2</w:t>
    </w:r>
    <w:r w:rsidRPr="0047474B">
      <w:rPr>
        <w:rStyle w:val="ab"/>
        <w:sz w:val="24"/>
      </w:rPr>
      <w:fldChar w:fldCharType="end"/>
    </w:r>
  </w:p>
  <w:p w:rsidR="00AB74DE" w:rsidRDefault="006A3235">
    <w:pPr>
      <w:pStyle w:val="a5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67B9D"/>
    <w:rsid w:val="00012A20"/>
    <w:rsid w:val="0001756E"/>
    <w:rsid w:val="00025172"/>
    <w:rsid w:val="00027902"/>
    <w:rsid w:val="00061BE6"/>
    <w:rsid w:val="00061D86"/>
    <w:rsid w:val="0006299E"/>
    <w:rsid w:val="00073139"/>
    <w:rsid w:val="00080199"/>
    <w:rsid w:val="00087382"/>
    <w:rsid w:val="000B5BCB"/>
    <w:rsid w:val="000D05A7"/>
    <w:rsid w:val="000D74D9"/>
    <w:rsid w:val="000F0344"/>
    <w:rsid w:val="000F2537"/>
    <w:rsid w:val="000F378A"/>
    <w:rsid w:val="00132818"/>
    <w:rsid w:val="0016735C"/>
    <w:rsid w:val="0018036C"/>
    <w:rsid w:val="00191BD4"/>
    <w:rsid w:val="00192555"/>
    <w:rsid w:val="001B7C07"/>
    <w:rsid w:val="001C5E2C"/>
    <w:rsid w:val="001D1572"/>
    <w:rsid w:val="001E38B3"/>
    <w:rsid w:val="001E4157"/>
    <w:rsid w:val="001F27FA"/>
    <w:rsid w:val="00201290"/>
    <w:rsid w:val="00206928"/>
    <w:rsid w:val="00214E5D"/>
    <w:rsid w:val="00220180"/>
    <w:rsid w:val="00221BD6"/>
    <w:rsid w:val="0022418F"/>
    <w:rsid w:val="00231620"/>
    <w:rsid w:val="00251C9D"/>
    <w:rsid w:val="00257A54"/>
    <w:rsid w:val="00280E93"/>
    <w:rsid w:val="0029125A"/>
    <w:rsid w:val="002B01F2"/>
    <w:rsid w:val="002B5EBB"/>
    <w:rsid w:val="002C7B5E"/>
    <w:rsid w:val="002F01A0"/>
    <w:rsid w:val="0030173D"/>
    <w:rsid w:val="00302C22"/>
    <w:rsid w:val="003126C3"/>
    <w:rsid w:val="003313FE"/>
    <w:rsid w:val="00331BF2"/>
    <w:rsid w:val="003347E8"/>
    <w:rsid w:val="00351340"/>
    <w:rsid w:val="00352998"/>
    <w:rsid w:val="0035395B"/>
    <w:rsid w:val="00373A07"/>
    <w:rsid w:val="003804A5"/>
    <w:rsid w:val="00396401"/>
    <w:rsid w:val="003A7C71"/>
    <w:rsid w:val="003B13D5"/>
    <w:rsid w:val="003C5B4C"/>
    <w:rsid w:val="003D7406"/>
    <w:rsid w:val="003F27AE"/>
    <w:rsid w:val="003F2E1E"/>
    <w:rsid w:val="003F40BA"/>
    <w:rsid w:val="003F607C"/>
    <w:rsid w:val="00400D47"/>
    <w:rsid w:val="004059DE"/>
    <w:rsid w:val="0042321D"/>
    <w:rsid w:val="00423EAB"/>
    <w:rsid w:val="00425B96"/>
    <w:rsid w:val="004337A5"/>
    <w:rsid w:val="00440508"/>
    <w:rsid w:val="00444103"/>
    <w:rsid w:val="0046313F"/>
    <w:rsid w:val="004703E4"/>
    <w:rsid w:val="0047474B"/>
    <w:rsid w:val="004847C6"/>
    <w:rsid w:val="004925B6"/>
    <w:rsid w:val="004B08E2"/>
    <w:rsid w:val="004B649E"/>
    <w:rsid w:val="004B7890"/>
    <w:rsid w:val="004C1042"/>
    <w:rsid w:val="004C65B4"/>
    <w:rsid w:val="004E566D"/>
    <w:rsid w:val="004F4AD0"/>
    <w:rsid w:val="004F51EC"/>
    <w:rsid w:val="00500353"/>
    <w:rsid w:val="00501055"/>
    <w:rsid w:val="00525A63"/>
    <w:rsid w:val="00526E31"/>
    <w:rsid w:val="005312E5"/>
    <w:rsid w:val="00531C79"/>
    <w:rsid w:val="00532334"/>
    <w:rsid w:val="00535F46"/>
    <w:rsid w:val="0054048A"/>
    <w:rsid w:val="005426A1"/>
    <w:rsid w:val="00542F37"/>
    <w:rsid w:val="00545DCE"/>
    <w:rsid w:val="0055085C"/>
    <w:rsid w:val="0055512C"/>
    <w:rsid w:val="005677E6"/>
    <w:rsid w:val="00573B1A"/>
    <w:rsid w:val="005833A9"/>
    <w:rsid w:val="00586C43"/>
    <w:rsid w:val="00595ED0"/>
    <w:rsid w:val="005A1244"/>
    <w:rsid w:val="005B20F4"/>
    <w:rsid w:val="005C4D9E"/>
    <w:rsid w:val="005D5C79"/>
    <w:rsid w:val="005F1A5A"/>
    <w:rsid w:val="005F3CC1"/>
    <w:rsid w:val="005F6B95"/>
    <w:rsid w:val="005F7104"/>
    <w:rsid w:val="006168EC"/>
    <w:rsid w:val="006231AB"/>
    <w:rsid w:val="00623687"/>
    <w:rsid w:val="00647EC2"/>
    <w:rsid w:val="00667E20"/>
    <w:rsid w:val="00671E8F"/>
    <w:rsid w:val="00680E06"/>
    <w:rsid w:val="006833BB"/>
    <w:rsid w:val="006A3235"/>
    <w:rsid w:val="006B7A63"/>
    <w:rsid w:val="006B7F8D"/>
    <w:rsid w:val="006C27D7"/>
    <w:rsid w:val="006E58C5"/>
    <w:rsid w:val="006F05BE"/>
    <w:rsid w:val="006F376A"/>
    <w:rsid w:val="006F3CCC"/>
    <w:rsid w:val="007133BA"/>
    <w:rsid w:val="00721543"/>
    <w:rsid w:val="007215EF"/>
    <w:rsid w:val="007260BC"/>
    <w:rsid w:val="007379B5"/>
    <w:rsid w:val="00745051"/>
    <w:rsid w:val="007704C0"/>
    <w:rsid w:val="00776EEE"/>
    <w:rsid w:val="00780C3D"/>
    <w:rsid w:val="007B79BB"/>
    <w:rsid w:val="007C16D8"/>
    <w:rsid w:val="007C795F"/>
    <w:rsid w:val="007C7B20"/>
    <w:rsid w:val="007D386E"/>
    <w:rsid w:val="007E4404"/>
    <w:rsid w:val="0080518E"/>
    <w:rsid w:val="00806877"/>
    <w:rsid w:val="00815438"/>
    <w:rsid w:val="00847480"/>
    <w:rsid w:val="00847E9F"/>
    <w:rsid w:val="00856BFF"/>
    <w:rsid w:val="00887351"/>
    <w:rsid w:val="008917D4"/>
    <w:rsid w:val="00895D91"/>
    <w:rsid w:val="008A5B0F"/>
    <w:rsid w:val="008A66FB"/>
    <w:rsid w:val="008B3416"/>
    <w:rsid w:val="008C588C"/>
    <w:rsid w:val="008D095B"/>
    <w:rsid w:val="008D7EFF"/>
    <w:rsid w:val="008E0CCF"/>
    <w:rsid w:val="00901B16"/>
    <w:rsid w:val="0092516A"/>
    <w:rsid w:val="00952790"/>
    <w:rsid w:val="00955385"/>
    <w:rsid w:val="009571BF"/>
    <w:rsid w:val="009674B1"/>
    <w:rsid w:val="00975D7C"/>
    <w:rsid w:val="0098232F"/>
    <w:rsid w:val="009875E8"/>
    <w:rsid w:val="0099262C"/>
    <w:rsid w:val="00995CBD"/>
    <w:rsid w:val="00996DA7"/>
    <w:rsid w:val="009A06D2"/>
    <w:rsid w:val="009A5633"/>
    <w:rsid w:val="009A614A"/>
    <w:rsid w:val="009A7728"/>
    <w:rsid w:val="009D3D36"/>
    <w:rsid w:val="009F0C7E"/>
    <w:rsid w:val="009F77DA"/>
    <w:rsid w:val="00A0395D"/>
    <w:rsid w:val="00A151EA"/>
    <w:rsid w:val="00A175E6"/>
    <w:rsid w:val="00A17E97"/>
    <w:rsid w:val="00A34FE0"/>
    <w:rsid w:val="00A40D31"/>
    <w:rsid w:val="00A445E9"/>
    <w:rsid w:val="00A610EC"/>
    <w:rsid w:val="00A7504A"/>
    <w:rsid w:val="00A90A07"/>
    <w:rsid w:val="00A9497C"/>
    <w:rsid w:val="00AA2873"/>
    <w:rsid w:val="00AB3858"/>
    <w:rsid w:val="00AC4AFE"/>
    <w:rsid w:val="00AC5DE2"/>
    <w:rsid w:val="00AD35E6"/>
    <w:rsid w:val="00AE1914"/>
    <w:rsid w:val="00AE3AC2"/>
    <w:rsid w:val="00AF7137"/>
    <w:rsid w:val="00B011C5"/>
    <w:rsid w:val="00B05835"/>
    <w:rsid w:val="00B0615A"/>
    <w:rsid w:val="00B0696F"/>
    <w:rsid w:val="00B1112B"/>
    <w:rsid w:val="00B12252"/>
    <w:rsid w:val="00B1318C"/>
    <w:rsid w:val="00B20BEF"/>
    <w:rsid w:val="00B24905"/>
    <w:rsid w:val="00B43D0B"/>
    <w:rsid w:val="00B633BE"/>
    <w:rsid w:val="00B66217"/>
    <w:rsid w:val="00B6656F"/>
    <w:rsid w:val="00B67B9D"/>
    <w:rsid w:val="00B71A79"/>
    <w:rsid w:val="00B86F9B"/>
    <w:rsid w:val="00BA2A2A"/>
    <w:rsid w:val="00BA6147"/>
    <w:rsid w:val="00BA7BB0"/>
    <w:rsid w:val="00BB3D26"/>
    <w:rsid w:val="00BB53CB"/>
    <w:rsid w:val="00C17BEB"/>
    <w:rsid w:val="00C21451"/>
    <w:rsid w:val="00C236A8"/>
    <w:rsid w:val="00C247B7"/>
    <w:rsid w:val="00C37768"/>
    <w:rsid w:val="00C42FAB"/>
    <w:rsid w:val="00C47E8A"/>
    <w:rsid w:val="00C52F77"/>
    <w:rsid w:val="00C62DE9"/>
    <w:rsid w:val="00C66140"/>
    <w:rsid w:val="00C720D9"/>
    <w:rsid w:val="00C85870"/>
    <w:rsid w:val="00C860C1"/>
    <w:rsid w:val="00C97F8F"/>
    <w:rsid w:val="00CB59F4"/>
    <w:rsid w:val="00CB6C16"/>
    <w:rsid w:val="00CC230B"/>
    <w:rsid w:val="00CD5C8E"/>
    <w:rsid w:val="00CF4DD8"/>
    <w:rsid w:val="00D01937"/>
    <w:rsid w:val="00D105E5"/>
    <w:rsid w:val="00D21E07"/>
    <w:rsid w:val="00D257CD"/>
    <w:rsid w:val="00D640ED"/>
    <w:rsid w:val="00D701C7"/>
    <w:rsid w:val="00D908CD"/>
    <w:rsid w:val="00DA0451"/>
    <w:rsid w:val="00DA0863"/>
    <w:rsid w:val="00DA23D1"/>
    <w:rsid w:val="00DA2C34"/>
    <w:rsid w:val="00DA4F76"/>
    <w:rsid w:val="00DA4F9B"/>
    <w:rsid w:val="00DA59FE"/>
    <w:rsid w:val="00DC58F4"/>
    <w:rsid w:val="00DD4CDD"/>
    <w:rsid w:val="00DD565B"/>
    <w:rsid w:val="00DF11E5"/>
    <w:rsid w:val="00E01FE3"/>
    <w:rsid w:val="00E030FA"/>
    <w:rsid w:val="00E078CE"/>
    <w:rsid w:val="00E10E89"/>
    <w:rsid w:val="00E17125"/>
    <w:rsid w:val="00E27412"/>
    <w:rsid w:val="00E416E2"/>
    <w:rsid w:val="00E42F8C"/>
    <w:rsid w:val="00E52BFC"/>
    <w:rsid w:val="00E539EC"/>
    <w:rsid w:val="00E7278D"/>
    <w:rsid w:val="00E747D3"/>
    <w:rsid w:val="00E812F5"/>
    <w:rsid w:val="00E85E4B"/>
    <w:rsid w:val="00EB5070"/>
    <w:rsid w:val="00EC266A"/>
    <w:rsid w:val="00EC67CF"/>
    <w:rsid w:val="00ED6198"/>
    <w:rsid w:val="00EE41BE"/>
    <w:rsid w:val="00EF3DAB"/>
    <w:rsid w:val="00EF45AD"/>
    <w:rsid w:val="00EF7B8D"/>
    <w:rsid w:val="00F12A0F"/>
    <w:rsid w:val="00F17503"/>
    <w:rsid w:val="00F21F32"/>
    <w:rsid w:val="00F426DB"/>
    <w:rsid w:val="00F51338"/>
    <w:rsid w:val="00F61A80"/>
    <w:rsid w:val="00F62E0A"/>
    <w:rsid w:val="00F77BD1"/>
    <w:rsid w:val="00F86D1B"/>
    <w:rsid w:val="00FA51DD"/>
    <w:rsid w:val="00FB1400"/>
    <w:rsid w:val="00FD714E"/>
    <w:rsid w:val="00FE6799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B9D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qFormat/>
    <w:rsid w:val="00B67B9D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67B9D"/>
  </w:style>
  <w:style w:type="character" w:customStyle="1" w:styleId="a4">
    <w:name w:val="Основной текст Знак"/>
    <w:basedOn w:val="a0"/>
    <w:link w:val="a3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!для пп"/>
    <w:basedOn w:val="a8"/>
    <w:qFormat/>
    <w:rsid w:val="00B67B9D"/>
    <w:pPr>
      <w:widowControl/>
      <w:ind w:left="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B67B9D"/>
    <w:pPr>
      <w:ind w:left="720"/>
      <w:contextualSpacing/>
    </w:pPr>
  </w:style>
  <w:style w:type="paragraph" w:customStyle="1" w:styleId="ConsPlusNormal">
    <w:name w:val="ConsPlusNormal"/>
    <w:rsid w:val="00EF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0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4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E7278D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47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7 Знак1"/>
    <w:uiPriority w:val="99"/>
    <w:locked/>
    <w:rsid w:val="0047474B"/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3F887-6E3F-48E0-8C34-D7C5EB6B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</cp:revision>
  <cp:lastPrinted>2016-10-17T05:30:00Z</cp:lastPrinted>
  <dcterms:created xsi:type="dcterms:W3CDTF">2017-03-02T03:43:00Z</dcterms:created>
  <dcterms:modified xsi:type="dcterms:W3CDTF">2017-03-02T03:43:00Z</dcterms:modified>
</cp:coreProperties>
</file>