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="1419" w:tblpY="908"/>
        <w:tblW w:w="0" w:type="auto"/>
        <w:tblLayout w:type="fixed"/>
        <w:tblLook w:val="01E0"/>
      </w:tblPr>
      <w:tblGrid>
        <w:gridCol w:w="9923"/>
      </w:tblGrid>
      <w:tr w:rsidR="0022170D" w:rsidRPr="00853BAF" w:rsidTr="00980E8C">
        <w:tc>
          <w:tcPr>
            <w:tcW w:w="9923" w:type="dxa"/>
          </w:tcPr>
          <w:p w:rsidR="0022170D" w:rsidRPr="00853BAF" w:rsidRDefault="0022170D" w:rsidP="00980E8C">
            <w:pPr>
              <w:ind w:left="4536"/>
              <w:outlineLvl w:val="0"/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85775" cy="485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70D" w:rsidRPr="00853BAF" w:rsidRDefault="0022170D" w:rsidP="00980E8C">
            <w:pPr>
              <w:jc w:val="center"/>
              <w:outlineLvl w:val="0"/>
              <w:rPr>
                <w:b/>
                <w:bCs/>
                <w:spacing w:val="60"/>
                <w:sz w:val="16"/>
                <w:szCs w:val="16"/>
              </w:rPr>
            </w:pPr>
          </w:p>
          <w:p w:rsidR="0022170D" w:rsidRPr="00853BAF" w:rsidRDefault="0022170D" w:rsidP="00980E8C">
            <w:pPr>
              <w:ind w:left="2098"/>
              <w:outlineLvl w:val="0"/>
              <w:rPr>
                <w:b/>
                <w:bCs/>
                <w:spacing w:val="20"/>
                <w:sz w:val="30"/>
                <w:szCs w:val="30"/>
              </w:rPr>
            </w:pPr>
            <w:r w:rsidRPr="00853BAF">
              <w:rPr>
                <w:b/>
                <w:bCs/>
                <w:spacing w:val="20"/>
                <w:sz w:val="30"/>
                <w:szCs w:val="30"/>
              </w:rPr>
              <w:t>МЭРИЯ ГОРОДА НОВОСИБИРСКА</w:t>
            </w:r>
          </w:p>
          <w:p w:rsidR="0022170D" w:rsidRPr="00853BAF" w:rsidRDefault="0022170D" w:rsidP="00980E8C">
            <w:pPr>
              <w:jc w:val="center"/>
              <w:outlineLvl w:val="0"/>
              <w:rPr>
                <w:b/>
                <w:bCs/>
                <w:spacing w:val="60"/>
                <w:sz w:val="14"/>
                <w:szCs w:val="14"/>
              </w:rPr>
            </w:pPr>
          </w:p>
          <w:p w:rsidR="0022170D" w:rsidRPr="00853BAF" w:rsidRDefault="0022170D" w:rsidP="00980E8C">
            <w:pPr>
              <w:ind w:left="2778"/>
              <w:outlineLvl w:val="0"/>
              <w:rPr>
                <w:b/>
                <w:bCs/>
                <w:spacing w:val="40"/>
                <w:sz w:val="40"/>
                <w:szCs w:val="40"/>
              </w:rPr>
            </w:pPr>
            <w:r w:rsidRPr="00853BAF">
              <w:rPr>
                <w:b/>
                <w:bCs/>
                <w:spacing w:val="40"/>
                <w:sz w:val="40"/>
                <w:szCs w:val="40"/>
              </w:rPr>
              <w:t>ПОСТАНОВЛЕНИЕ</w:t>
            </w:r>
          </w:p>
          <w:p w:rsidR="0022170D" w:rsidRPr="00853BAF" w:rsidRDefault="0022170D" w:rsidP="00980E8C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22170D" w:rsidRPr="00853BAF" w:rsidRDefault="0022170D" w:rsidP="00980E8C">
            <w:pPr>
              <w:tabs>
                <w:tab w:val="left" w:pos="540"/>
                <w:tab w:val="left" w:pos="2160"/>
                <w:tab w:val="left" w:pos="7797"/>
                <w:tab w:val="left" w:pos="9781"/>
              </w:tabs>
              <w:jc w:val="both"/>
            </w:pPr>
            <w:r w:rsidRPr="00853BAF">
              <w:rPr>
                <w:b/>
              </w:rPr>
              <w:t>От</w:t>
            </w:r>
            <w:r w:rsidRPr="00853BAF">
              <w:t xml:space="preserve">  </w:t>
            </w:r>
            <w:r w:rsidRPr="00853BAF">
              <w:tab/>
            </w:r>
            <w:r w:rsidRPr="00853BAF">
              <w:rPr>
                <w:u w:val="single"/>
              </w:rPr>
              <w:t xml:space="preserve">  </w:t>
            </w:r>
            <w:r w:rsidR="00032B98">
              <w:rPr>
                <w:u w:val="single"/>
              </w:rPr>
              <w:t>14</w:t>
            </w:r>
            <w:r w:rsidR="00032B98" w:rsidRPr="00032B98">
              <w:rPr>
                <w:u w:val="single"/>
              </w:rPr>
              <w:t>.04.2017</w:t>
            </w:r>
            <w:r w:rsidRPr="00853BAF">
              <w:rPr>
                <w:u w:val="single"/>
              </w:rPr>
              <w:tab/>
            </w:r>
            <w:r w:rsidRPr="00853BAF">
              <w:tab/>
            </w:r>
            <w:r w:rsidRPr="00853BAF">
              <w:rPr>
                <w:b/>
              </w:rPr>
              <w:t>№</w:t>
            </w:r>
            <w:r w:rsidRPr="00853BAF">
              <w:t xml:space="preserve">  </w:t>
            </w:r>
            <w:r w:rsidRPr="00853BAF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</w:t>
            </w:r>
            <w:r w:rsidRPr="00853BAF">
              <w:rPr>
                <w:u w:val="single"/>
              </w:rPr>
              <w:t xml:space="preserve"> </w:t>
            </w:r>
            <w:r w:rsidR="00032B98">
              <w:rPr>
                <w:u w:val="single"/>
              </w:rPr>
              <w:t>1660</w:t>
            </w:r>
            <w:r w:rsidRPr="00853BAF">
              <w:rPr>
                <w:u w:val="single"/>
              </w:rPr>
              <w:tab/>
            </w:r>
          </w:p>
          <w:p w:rsidR="0022170D" w:rsidRPr="00853BAF" w:rsidRDefault="0022170D" w:rsidP="00980E8C">
            <w:pPr>
              <w:tabs>
                <w:tab w:val="left" w:pos="3960"/>
                <w:tab w:val="left" w:pos="7740"/>
              </w:tabs>
              <w:jc w:val="both"/>
            </w:pPr>
          </w:p>
        </w:tc>
      </w:tr>
    </w:tbl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352"/>
      </w:tblGrid>
      <w:tr w:rsidR="00B67B9D" w:rsidRPr="0022170D" w:rsidTr="0022170D">
        <w:trPr>
          <w:trHeight w:val="540"/>
        </w:trPr>
        <w:tc>
          <w:tcPr>
            <w:tcW w:w="5352" w:type="dxa"/>
            <w:hideMark/>
          </w:tcPr>
          <w:p w:rsidR="00B67B9D" w:rsidRPr="0022170D" w:rsidRDefault="00B67B9D" w:rsidP="0022170D">
            <w:pPr>
              <w:widowControl/>
              <w:jc w:val="both"/>
            </w:pPr>
            <w:r w:rsidRPr="0022170D">
              <w:t>Об отказе в предоставлении разрешений на отклонение от предельных параметров           разрешенного строительства, реконстру</w:t>
            </w:r>
            <w:r w:rsidRPr="0022170D">
              <w:t>к</w:t>
            </w:r>
            <w:r w:rsidRPr="0022170D">
              <w:t>ции объектов капитального строительства</w:t>
            </w:r>
          </w:p>
        </w:tc>
      </w:tr>
    </w:tbl>
    <w:p w:rsidR="0022170D" w:rsidRDefault="0022170D" w:rsidP="0022170D">
      <w:pPr>
        <w:ind w:firstLine="709"/>
        <w:jc w:val="both"/>
      </w:pPr>
    </w:p>
    <w:p w:rsidR="0022170D" w:rsidRDefault="0022170D" w:rsidP="0022170D">
      <w:pPr>
        <w:ind w:firstLine="709"/>
        <w:jc w:val="both"/>
      </w:pPr>
    </w:p>
    <w:p w:rsidR="00B67B9D" w:rsidRPr="0022170D" w:rsidRDefault="00B67B9D" w:rsidP="0022170D">
      <w:pPr>
        <w:ind w:firstLine="709"/>
        <w:jc w:val="both"/>
      </w:pPr>
      <w:proofErr w:type="gramStart"/>
      <w:r w:rsidRPr="0022170D">
        <w:t>В соответствии со статьей 40 Градостроительного кодекса Российской Ф</w:t>
      </w:r>
      <w:r w:rsidRPr="0022170D">
        <w:t>е</w:t>
      </w:r>
      <w:r w:rsidRPr="0022170D">
        <w:t>дерации, решением Совета депутатов города Новосибирска от 24.06.2009 №</w:t>
      </w:r>
      <w:r w:rsidRPr="0022170D">
        <w:rPr>
          <w:lang w:val="en-US"/>
        </w:rPr>
        <w:t> </w:t>
      </w:r>
      <w:r w:rsidRPr="0022170D">
        <w:t>1288 «О Правилах землепользования и застройки города Новосибирска», пунктом 2.13 административного регламента предоставления муниципальной услуги по пр</w:t>
      </w:r>
      <w:r w:rsidRPr="0022170D">
        <w:t>е</w:t>
      </w:r>
      <w:r w:rsidRPr="0022170D">
        <w:t>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</w:t>
      </w:r>
      <w:r w:rsidRPr="0022170D">
        <w:t>н</w:t>
      </w:r>
      <w:r w:rsidRPr="0022170D">
        <w:t>ного постановлением мэрии города Новосибирска от 10.06.2013 № 5459, на осн</w:t>
      </w:r>
      <w:r w:rsidRPr="0022170D">
        <w:t>о</w:t>
      </w:r>
      <w:r w:rsidRPr="0022170D">
        <w:t xml:space="preserve">вании заключения </w:t>
      </w:r>
      <w:r w:rsidRPr="0022170D">
        <w:rPr>
          <w:spacing w:val="-3"/>
        </w:rPr>
        <w:t>по результатам публичных слушаний</w:t>
      </w:r>
      <w:proofErr w:type="gramEnd"/>
      <w:r w:rsidRPr="0022170D">
        <w:rPr>
          <w:spacing w:val="-3"/>
        </w:rPr>
        <w:t xml:space="preserve"> </w:t>
      </w:r>
      <w:proofErr w:type="gramStart"/>
      <w:r w:rsidRPr="0022170D">
        <w:rPr>
          <w:spacing w:val="-3"/>
        </w:rPr>
        <w:t>по вопросам предоставления разрешений на отклонение от предельных параметров разрешенн</w:t>
      </w:r>
      <w:r w:rsidRPr="0022170D">
        <w:rPr>
          <w:spacing w:val="-3"/>
        </w:rPr>
        <w:t>о</w:t>
      </w:r>
      <w:r w:rsidRPr="0022170D">
        <w:rPr>
          <w:spacing w:val="-3"/>
        </w:rPr>
        <w:t xml:space="preserve">го строительства, </w:t>
      </w:r>
      <w:r w:rsidRPr="0022170D">
        <w:rPr>
          <w:spacing w:val="-2"/>
        </w:rPr>
        <w:t>реконструкции объекто</w:t>
      </w:r>
      <w:r w:rsidR="003D7406" w:rsidRPr="0022170D">
        <w:rPr>
          <w:spacing w:val="-2"/>
        </w:rPr>
        <w:t>в капитального строительства от</w:t>
      </w:r>
      <w:r w:rsidR="0022170D">
        <w:rPr>
          <w:spacing w:val="-2"/>
        </w:rPr>
        <w:t> </w:t>
      </w:r>
      <w:r w:rsidR="003511CB" w:rsidRPr="0022170D">
        <w:rPr>
          <w:spacing w:val="-2"/>
        </w:rPr>
        <w:t>04</w:t>
      </w:r>
      <w:r w:rsidRPr="0022170D">
        <w:rPr>
          <w:spacing w:val="-2"/>
        </w:rPr>
        <w:t>.</w:t>
      </w:r>
      <w:r w:rsidR="007379B5" w:rsidRPr="0022170D">
        <w:rPr>
          <w:spacing w:val="-2"/>
        </w:rPr>
        <w:t>0</w:t>
      </w:r>
      <w:r w:rsidR="003511CB" w:rsidRPr="0022170D">
        <w:rPr>
          <w:spacing w:val="-2"/>
        </w:rPr>
        <w:t>4</w:t>
      </w:r>
      <w:r w:rsidRPr="0022170D">
        <w:rPr>
          <w:spacing w:val="-2"/>
        </w:rPr>
        <w:t>.201</w:t>
      </w:r>
      <w:r w:rsidR="007379B5" w:rsidRPr="0022170D">
        <w:rPr>
          <w:spacing w:val="-2"/>
        </w:rPr>
        <w:t>7</w:t>
      </w:r>
      <w:r w:rsidRPr="0022170D">
        <w:rPr>
          <w:spacing w:val="-2"/>
        </w:rPr>
        <w:t>, р</w:t>
      </w:r>
      <w:r w:rsidRPr="0022170D">
        <w:t>екомендаций комиссии по подготовке проекта правил землепол</w:t>
      </w:r>
      <w:r w:rsidRPr="0022170D">
        <w:t>ь</w:t>
      </w:r>
      <w:r w:rsidRPr="0022170D">
        <w:t>зования и застройки города Новосибирска о предоставлении и</w:t>
      </w:r>
      <w:r w:rsidR="0022170D">
        <w:t xml:space="preserve"> </w:t>
      </w:r>
      <w:r w:rsidRPr="0022170D">
        <w:t>об</w:t>
      </w:r>
      <w:r w:rsidR="0022170D">
        <w:t xml:space="preserve"> </w:t>
      </w:r>
      <w:r w:rsidRPr="0022170D">
        <w:t>отказе в предо</w:t>
      </w:r>
      <w:r w:rsidRPr="0022170D">
        <w:t>с</w:t>
      </w:r>
      <w:r w:rsidRPr="0022170D">
        <w:t>тавлении разрешений на отклонение от предельных параметров разрешенного строительства, реконструкции объектов</w:t>
      </w:r>
      <w:r w:rsidR="00EE41BE" w:rsidRPr="0022170D">
        <w:t xml:space="preserve"> капитального строительства от</w:t>
      </w:r>
      <w:r w:rsidR="0022170D">
        <w:t> </w:t>
      </w:r>
      <w:r w:rsidR="003511CB" w:rsidRPr="0022170D">
        <w:t>07.0</w:t>
      </w:r>
      <w:r w:rsidR="0022170D">
        <w:t>4</w:t>
      </w:r>
      <w:r w:rsidR="007379B5" w:rsidRPr="0022170D">
        <w:t>.2017</w:t>
      </w:r>
      <w:r w:rsidRPr="0022170D">
        <w:t>, руководствуясь Уставом города Новосибирска, ПОСТАНОВЛЯЮ:</w:t>
      </w:r>
      <w:proofErr w:type="gramEnd"/>
    </w:p>
    <w:p w:rsidR="0055512C" w:rsidRPr="0022170D" w:rsidRDefault="00B67B9D" w:rsidP="0022170D">
      <w:pPr>
        <w:pStyle w:val="a7"/>
        <w:ind w:firstLine="709"/>
        <w:rPr>
          <w:spacing w:val="-2"/>
        </w:rPr>
      </w:pPr>
      <w:r w:rsidRPr="0022170D">
        <w:t>1. Отказать в предоставлении разрешени</w:t>
      </w:r>
      <w:r w:rsidR="0022170D">
        <w:t>й</w:t>
      </w:r>
      <w:r w:rsidRPr="0022170D">
        <w:t xml:space="preserve"> на </w:t>
      </w:r>
      <w:r w:rsidRPr="0022170D">
        <w:rPr>
          <w:spacing w:val="-3"/>
        </w:rPr>
        <w:t>отклонение от предельных п</w:t>
      </w:r>
      <w:r w:rsidRPr="0022170D">
        <w:rPr>
          <w:spacing w:val="-3"/>
        </w:rPr>
        <w:t>а</w:t>
      </w:r>
      <w:r w:rsidRPr="0022170D">
        <w:rPr>
          <w:spacing w:val="-3"/>
        </w:rPr>
        <w:t xml:space="preserve">раметров разрешенного строительства, </w:t>
      </w:r>
      <w:r w:rsidRPr="0022170D">
        <w:rPr>
          <w:spacing w:val="-2"/>
        </w:rPr>
        <w:t>реконструкции объектов капитального строительства</w:t>
      </w:r>
      <w:r w:rsidR="00FE6799" w:rsidRPr="0022170D">
        <w:rPr>
          <w:spacing w:val="-2"/>
        </w:rPr>
        <w:t>:</w:t>
      </w:r>
    </w:p>
    <w:p w:rsidR="0022170D" w:rsidRDefault="00ED6198" w:rsidP="0022170D">
      <w:pPr>
        <w:ind w:firstLine="720"/>
        <w:jc w:val="both"/>
        <w:rPr>
          <w:color w:val="000000" w:themeColor="text1"/>
        </w:rPr>
      </w:pPr>
      <w:r w:rsidRPr="0022170D">
        <w:rPr>
          <w:bCs/>
        </w:rPr>
        <w:t>1.1. </w:t>
      </w:r>
      <w:r w:rsidR="003511CB" w:rsidRPr="0022170D">
        <w:t>Григорян Ларисе Викторовне (на основании заявления в связи с тем, что инженерно-геологические характеристики земельного участка являются н</w:t>
      </w:r>
      <w:r w:rsidR="003511CB" w:rsidRPr="0022170D">
        <w:t>е</w:t>
      </w:r>
      <w:r w:rsidR="003511CB" w:rsidRPr="0022170D">
        <w:t>благоприятными для застройки) в части уменьшения минимального отступа от границ земельного участка, за пределами которого запрещено строительство зд</w:t>
      </w:r>
      <w:r w:rsidR="003511CB" w:rsidRPr="0022170D">
        <w:t>а</w:t>
      </w:r>
      <w:r w:rsidR="003511CB" w:rsidRPr="0022170D">
        <w:t xml:space="preserve">ний, строений, сооружений, с кадастровым номером 54:35:084245:35 площадью 0,1254 га, расположенного по адресу: </w:t>
      </w:r>
      <w:proofErr w:type="gramStart"/>
      <w:r w:rsidR="003511CB" w:rsidRPr="0022170D">
        <w:t>Российская Федерация, Новосибирская о</w:t>
      </w:r>
      <w:r w:rsidR="003511CB" w:rsidRPr="0022170D">
        <w:t>б</w:t>
      </w:r>
      <w:r w:rsidR="003511CB" w:rsidRPr="0022170D">
        <w:t xml:space="preserve">ласть, город Новосибирск, ул. Ольги </w:t>
      </w:r>
      <w:proofErr w:type="spellStart"/>
      <w:r w:rsidR="003511CB" w:rsidRPr="0022170D">
        <w:t>Берггольц</w:t>
      </w:r>
      <w:proofErr w:type="spellEnd"/>
      <w:r w:rsidR="003511CB" w:rsidRPr="0022170D">
        <w:t xml:space="preserve"> (зона </w:t>
      </w:r>
      <w:r w:rsidR="003511CB" w:rsidRPr="0022170D">
        <w:rPr>
          <w:rFonts w:eastAsia="Calibri"/>
          <w:lang w:eastAsia="en-US"/>
        </w:rPr>
        <w:t>застройки индивидуальн</w:t>
      </w:r>
      <w:r w:rsidR="003511CB" w:rsidRPr="0022170D">
        <w:rPr>
          <w:rFonts w:eastAsia="Calibri"/>
          <w:lang w:eastAsia="en-US"/>
        </w:rPr>
        <w:t>ы</w:t>
      </w:r>
      <w:r w:rsidR="003511CB" w:rsidRPr="0022170D">
        <w:rPr>
          <w:rFonts w:eastAsia="Calibri"/>
          <w:lang w:eastAsia="en-US"/>
        </w:rPr>
        <w:t>ми жилыми домами (Ж-6)</w:t>
      </w:r>
      <w:r w:rsidR="003511CB" w:rsidRPr="0022170D">
        <w:t xml:space="preserve">), </w:t>
      </w:r>
      <w:r w:rsidR="003511CB" w:rsidRPr="0022170D">
        <w:rPr>
          <w:bCs/>
        </w:rPr>
        <w:t xml:space="preserve">с 3 м до 1,5 м со стороны ул. Ольги </w:t>
      </w:r>
      <w:proofErr w:type="spellStart"/>
      <w:r w:rsidR="003511CB" w:rsidRPr="0022170D">
        <w:rPr>
          <w:bCs/>
        </w:rPr>
        <w:t>Берггольц</w:t>
      </w:r>
      <w:proofErr w:type="spellEnd"/>
      <w:r w:rsidR="003511CB" w:rsidRPr="0022170D">
        <w:rPr>
          <w:bCs/>
        </w:rPr>
        <w:t xml:space="preserve"> в связи с тем, </w:t>
      </w:r>
      <w:r w:rsidR="003511CB" w:rsidRPr="0022170D">
        <w:rPr>
          <w:bCs/>
          <w:color w:val="000000" w:themeColor="text1"/>
        </w:rPr>
        <w:t xml:space="preserve">что </w:t>
      </w:r>
      <w:r w:rsidR="003511CB" w:rsidRPr="0022170D">
        <w:rPr>
          <w:color w:val="000000" w:themeColor="text1"/>
        </w:rPr>
        <w:t>отсутствуют обоснования, предусмотренные частью 1 статьи 40 Град</w:t>
      </w:r>
      <w:r w:rsidR="003511CB" w:rsidRPr="0022170D">
        <w:rPr>
          <w:color w:val="000000" w:themeColor="text1"/>
        </w:rPr>
        <w:t>о</w:t>
      </w:r>
      <w:r w:rsidR="003511CB" w:rsidRPr="0022170D">
        <w:rPr>
          <w:color w:val="000000" w:themeColor="text1"/>
        </w:rPr>
        <w:t xml:space="preserve">строительного кодекса </w:t>
      </w:r>
      <w:r w:rsidR="003511CB" w:rsidRPr="0022170D">
        <w:t>Российской Федерации</w:t>
      </w:r>
      <w:r w:rsidR="003511CB" w:rsidRPr="0022170D">
        <w:rPr>
          <w:color w:val="000000" w:themeColor="text1"/>
        </w:rPr>
        <w:t xml:space="preserve">, а именно </w:t>
      </w:r>
      <w:proofErr w:type="spellStart"/>
      <w:r w:rsidR="003511CB" w:rsidRPr="0022170D">
        <w:rPr>
          <w:color w:val="000000" w:themeColor="text1"/>
        </w:rPr>
        <w:t>инженерно-геологи</w:t>
      </w:r>
      <w:r w:rsidR="0022170D">
        <w:rPr>
          <w:color w:val="000000" w:themeColor="text1"/>
        </w:rPr>
        <w:t>-</w:t>
      </w:r>
      <w:r w:rsidR="003511CB" w:rsidRPr="0022170D">
        <w:rPr>
          <w:color w:val="000000" w:themeColor="text1"/>
        </w:rPr>
        <w:t>ческие</w:t>
      </w:r>
      <w:proofErr w:type="spellEnd"/>
      <w:r w:rsidR="003511CB" w:rsidRPr="0022170D">
        <w:rPr>
          <w:color w:val="000000" w:themeColor="text1"/>
        </w:rPr>
        <w:t xml:space="preserve"> характеристики земельного участка не являются неблагоприятными для застройки, </w:t>
      </w:r>
      <w:r w:rsidR="0022170D">
        <w:rPr>
          <w:color w:val="000000" w:themeColor="text1"/>
        </w:rPr>
        <w:t xml:space="preserve">  </w:t>
      </w:r>
      <w:r w:rsidR="003511CB" w:rsidRPr="0022170D">
        <w:rPr>
          <w:color w:val="000000" w:themeColor="text1"/>
        </w:rPr>
        <w:t>а</w:t>
      </w:r>
      <w:r w:rsidR="0022170D">
        <w:rPr>
          <w:color w:val="000000" w:themeColor="text1"/>
        </w:rPr>
        <w:t xml:space="preserve">  </w:t>
      </w:r>
      <w:r w:rsidR="003511CB" w:rsidRPr="0022170D">
        <w:rPr>
          <w:color w:val="000000" w:themeColor="text1"/>
        </w:rPr>
        <w:t xml:space="preserve"> также </w:t>
      </w:r>
      <w:r w:rsidR="0022170D">
        <w:rPr>
          <w:color w:val="000000" w:themeColor="text1"/>
        </w:rPr>
        <w:t xml:space="preserve">  </w:t>
      </w:r>
      <w:r w:rsidR="003511CB" w:rsidRPr="0022170D">
        <w:rPr>
          <w:color w:val="000000" w:themeColor="text1"/>
        </w:rPr>
        <w:t>нарушены</w:t>
      </w:r>
      <w:r w:rsidR="0022170D">
        <w:rPr>
          <w:color w:val="000000" w:themeColor="text1"/>
        </w:rPr>
        <w:t xml:space="preserve">   </w:t>
      </w:r>
      <w:r w:rsidR="003511CB" w:rsidRPr="0022170D">
        <w:rPr>
          <w:color w:val="000000" w:themeColor="text1"/>
        </w:rPr>
        <w:t>требования</w:t>
      </w:r>
      <w:r w:rsidR="003511CB" w:rsidRPr="0022170D">
        <w:rPr>
          <w:color w:val="000000" w:themeColor="text1"/>
          <w:sz w:val="24"/>
        </w:rPr>
        <w:t xml:space="preserve"> </w:t>
      </w:r>
      <w:r w:rsidR="0022170D" w:rsidRPr="0022170D">
        <w:rPr>
          <w:color w:val="000000" w:themeColor="text1"/>
          <w:sz w:val="24"/>
        </w:rPr>
        <w:t xml:space="preserve">   </w:t>
      </w:r>
      <w:r w:rsidR="003511CB" w:rsidRPr="0022170D">
        <w:rPr>
          <w:color w:val="000000" w:themeColor="text1"/>
        </w:rPr>
        <w:t>действующего</w:t>
      </w:r>
      <w:r w:rsidR="003511CB" w:rsidRPr="0022170D">
        <w:rPr>
          <w:color w:val="000000" w:themeColor="text1"/>
          <w:sz w:val="24"/>
        </w:rPr>
        <w:t xml:space="preserve"> </w:t>
      </w:r>
      <w:r w:rsidR="0022170D" w:rsidRPr="0022170D">
        <w:rPr>
          <w:color w:val="000000" w:themeColor="text1"/>
          <w:sz w:val="24"/>
        </w:rPr>
        <w:t xml:space="preserve">   </w:t>
      </w:r>
      <w:r w:rsidR="003511CB" w:rsidRPr="0022170D">
        <w:rPr>
          <w:color w:val="000000" w:themeColor="text1"/>
        </w:rPr>
        <w:t xml:space="preserve">законодательства: </w:t>
      </w:r>
      <w:r w:rsidR="0022170D">
        <w:rPr>
          <w:color w:val="000000" w:themeColor="text1"/>
        </w:rPr>
        <w:br w:type="page"/>
      </w:r>
      <w:proofErr w:type="gramEnd"/>
    </w:p>
    <w:p w:rsidR="003511CB" w:rsidRPr="0022170D" w:rsidRDefault="003511CB" w:rsidP="0022170D">
      <w:pPr>
        <w:jc w:val="both"/>
      </w:pPr>
      <w:r w:rsidRPr="0022170D">
        <w:rPr>
          <w:color w:val="000000" w:themeColor="text1"/>
        </w:rPr>
        <w:lastRenderedPageBreak/>
        <w:t>пункта</w:t>
      </w:r>
      <w:r w:rsidR="0022170D">
        <w:rPr>
          <w:color w:val="000000" w:themeColor="text1"/>
        </w:rPr>
        <w:t> </w:t>
      </w:r>
      <w:r w:rsidRPr="0022170D">
        <w:rPr>
          <w:color w:val="000000" w:themeColor="text1"/>
        </w:rPr>
        <w:t xml:space="preserve">5 части 2 статьи 41 Правил землепользования и </w:t>
      </w:r>
      <w:proofErr w:type="gramStart"/>
      <w:r w:rsidRPr="0022170D">
        <w:rPr>
          <w:color w:val="000000" w:themeColor="text1"/>
        </w:rPr>
        <w:t>застройки города</w:t>
      </w:r>
      <w:proofErr w:type="gramEnd"/>
      <w:r w:rsidRPr="0022170D">
        <w:rPr>
          <w:color w:val="000000" w:themeColor="text1"/>
        </w:rPr>
        <w:t xml:space="preserve"> Новос</w:t>
      </w:r>
      <w:r w:rsidRPr="0022170D">
        <w:rPr>
          <w:color w:val="000000" w:themeColor="text1"/>
        </w:rPr>
        <w:t>и</w:t>
      </w:r>
      <w:r w:rsidRPr="0022170D">
        <w:rPr>
          <w:color w:val="000000" w:themeColor="text1"/>
        </w:rPr>
        <w:t>бирска, утвержденных решением Совета депутатов города Новосибирска от</w:t>
      </w:r>
      <w:r w:rsidR="0022170D">
        <w:rPr>
          <w:color w:val="000000" w:themeColor="text1"/>
        </w:rPr>
        <w:t> </w:t>
      </w:r>
      <w:r w:rsidRPr="0022170D">
        <w:rPr>
          <w:color w:val="000000" w:themeColor="text1"/>
        </w:rPr>
        <w:t>24.06.2009 № 1288</w:t>
      </w:r>
      <w:r w:rsidR="00BF0B9A">
        <w:rPr>
          <w:color w:val="000000" w:themeColor="text1"/>
        </w:rPr>
        <w:t>,</w:t>
      </w:r>
      <w:r w:rsidR="00BE74A7" w:rsidRPr="0022170D">
        <w:rPr>
          <w:color w:val="000000" w:themeColor="text1"/>
        </w:rPr>
        <w:t xml:space="preserve"> в части </w:t>
      </w:r>
      <w:r w:rsidRPr="0022170D">
        <w:rPr>
          <w:color w:val="000000" w:themeColor="text1"/>
        </w:rPr>
        <w:t xml:space="preserve">предельного минимального количества </w:t>
      </w:r>
      <w:proofErr w:type="spellStart"/>
      <w:r w:rsidRPr="0022170D">
        <w:rPr>
          <w:color w:val="000000" w:themeColor="text1"/>
        </w:rPr>
        <w:t>машино-мест</w:t>
      </w:r>
      <w:proofErr w:type="spellEnd"/>
      <w:r w:rsidRPr="0022170D">
        <w:rPr>
          <w:color w:val="000000" w:themeColor="text1"/>
        </w:rPr>
        <w:t xml:space="preserve"> для стоянок индивидуальных транспортных средств.</w:t>
      </w:r>
    </w:p>
    <w:p w:rsidR="003511CB" w:rsidRPr="0022170D" w:rsidRDefault="003511CB" w:rsidP="0022170D">
      <w:pPr>
        <w:ind w:firstLine="709"/>
        <w:jc w:val="both"/>
        <w:rPr>
          <w:color w:val="000000" w:themeColor="text1"/>
        </w:rPr>
      </w:pPr>
      <w:r w:rsidRPr="0022170D">
        <w:rPr>
          <w:bCs/>
        </w:rPr>
        <w:t>1.2. </w:t>
      </w:r>
      <w:proofErr w:type="gramStart"/>
      <w:r w:rsidRPr="0022170D">
        <w:rPr>
          <w:bCs/>
        </w:rPr>
        <w:t>Обществу с ограниченной ответственностью «</w:t>
      </w:r>
      <w:proofErr w:type="spellStart"/>
      <w:r w:rsidRPr="0022170D">
        <w:rPr>
          <w:bCs/>
        </w:rPr>
        <w:t>СибАвтоСервис</w:t>
      </w:r>
      <w:proofErr w:type="spellEnd"/>
      <w:r w:rsidRPr="0022170D">
        <w:rPr>
          <w:bCs/>
        </w:rPr>
        <w:t xml:space="preserve">» </w:t>
      </w:r>
      <w:r w:rsidRPr="0022170D">
        <w:t>(на о</w:t>
      </w:r>
      <w:r w:rsidRPr="0022170D">
        <w:t>с</w:t>
      </w:r>
      <w:r w:rsidRPr="0022170D">
        <w:t xml:space="preserve">новании заявления в связи с тем, что конфигурация земельного участка и наличие охранной зоны объекта </w:t>
      </w:r>
      <w:proofErr w:type="spellStart"/>
      <w:r w:rsidRPr="0022170D">
        <w:t>электросетевого</w:t>
      </w:r>
      <w:proofErr w:type="spellEnd"/>
      <w:r w:rsidRPr="0022170D">
        <w:t xml:space="preserve"> хозяйства являются неблагоприятными для застройки) </w:t>
      </w:r>
      <w:r w:rsidRPr="0022170D">
        <w:rPr>
          <w:bCs/>
          <w:iCs/>
        </w:rPr>
        <w:t xml:space="preserve">в части </w:t>
      </w:r>
      <w:r w:rsidRPr="0022170D">
        <w:rPr>
          <w:bCs/>
        </w:rPr>
        <w:t>уменьшения минимального процента застройки с 40 % до 8 %</w:t>
      </w:r>
      <w:r w:rsidRPr="0022170D">
        <w:rPr>
          <w:bCs/>
          <w:iCs/>
        </w:rPr>
        <w:t xml:space="preserve"> в </w:t>
      </w:r>
      <w:r w:rsidRPr="0022170D">
        <w:t xml:space="preserve">границах земельного участка с кадастровым номером </w:t>
      </w:r>
      <w:r w:rsidRPr="0022170D">
        <w:rPr>
          <w:bCs/>
        </w:rPr>
        <w:t>54:35:041720:398</w:t>
      </w:r>
      <w:r w:rsidRPr="0022170D">
        <w:t xml:space="preserve"> площадью 0,1851 га, расположенного по адресу:</w:t>
      </w:r>
      <w:proofErr w:type="gramEnd"/>
      <w:r w:rsidRPr="0022170D">
        <w:t xml:space="preserve"> Российская Федерация, Новос</w:t>
      </w:r>
      <w:r w:rsidRPr="0022170D">
        <w:t>и</w:t>
      </w:r>
      <w:r w:rsidRPr="0022170D">
        <w:t xml:space="preserve">бирская область, город Новосибирск, ул. </w:t>
      </w:r>
      <w:proofErr w:type="spellStart"/>
      <w:r w:rsidRPr="0022170D">
        <w:t>Тайгинская</w:t>
      </w:r>
      <w:proofErr w:type="spellEnd"/>
      <w:r w:rsidRPr="0022170D">
        <w:t xml:space="preserve"> </w:t>
      </w:r>
      <w:r w:rsidRPr="0022170D">
        <w:rPr>
          <w:bCs/>
        </w:rPr>
        <w:t xml:space="preserve">(зона </w:t>
      </w:r>
      <w:r w:rsidRPr="0022170D">
        <w:rPr>
          <w:rFonts w:eastAsia="Calibri"/>
          <w:lang w:eastAsia="en-US"/>
        </w:rPr>
        <w:t>производственной де</w:t>
      </w:r>
      <w:r w:rsidRPr="0022170D">
        <w:rPr>
          <w:rFonts w:eastAsia="Calibri"/>
          <w:lang w:eastAsia="en-US"/>
        </w:rPr>
        <w:t>я</w:t>
      </w:r>
      <w:r w:rsidRPr="0022170D">
        <w:rPr>
          <w:rFonts w:eastAsia="Calibri"/>
          <w:lang w:eastAsia="en-US"/>
        </w:rPr>
        <w:t>тельности (П-</w:t>
      </w:r>
      <w:r w:rsidRPr="0022170D">
        <w:rPr>
          <w:rFonts w:eastAsia="Calibri"/>
          <w:color w:val="000000" w:themeColor="text1"/>
          <w:lang w:eastAsia="en-US"/>
        </w:rPr>
        <w:t>1)</w:t>
      </w:r>
      <w:r w:rsidRPr="0022170D">
        <w:rPr>
          <w:bCs/>
          <w:color w:val="000000" w:themeColor="text1"/>
        </w:rPr>
        <w:t xml:space="preserve">), в </w:t>
      </w:r>
      <w:r w:rsidRPr="0022170D">
        <w:rPr>
          <w:color w:val="000000" w:themeColor="text1"/>
        </w:rPr>
        <w:t>связи с тем, что строительство, реконструкция объекта капитального строительства осуществлено без разрешения на строительство.</w:t>
      </w:r>
    </w:p>
    <w:p w:rsidR="003511CB" w:rsidRPr="0022170D" w:rsidRDefault="003511CB" w:rsidP="0022170D">
      <w:pPr>
        <w:ind w:firstLine="720"/>
        <w:jc w:val="both"/>
        <w:rPr>
          <w:bCs/>
          <w:color w:val="000000" w:themeColor="text1"/>
        </w:rPr>
      </w:pPr>
      <w:r w:rsidRPr="0022170D">
        <w:t>1.3. </w:t>
      </w:r>
      <w:proofErr w:type="gramStart"/>
      <w:r w:rsidRPr="0022170D">
        <w:rPr>
          <w:bCs/>
        </w:rPr>
        <w:t xml:space="preserve">Ермоленко Татьяне Викторовне </w:t>
      </w:r>
      <w:r w:rsidRPr="0022170D">
        <w:t>(на основании заявления в связи с тем, что размер земельного участка меньше установленного градостроительным ре</w:t>
      </w:r>
      <w:r w:rsidRPr="0022170D">
        <w:t>г</w:t>
      </w:r>
      <w:r w:rsidRPr="0022170D">
        <w:t>ламентом минимального размера земельного участка) в части уменьшения мин</w:t>
      </w:r>
      <w:r w:rsidRPr="0022170D">
        <w:t>и</w:t>
      </w:r>
      <w:r w:rsidRPr="0022170D">
        <w:t>мального отступа от границ земельного участка, за пределами которого запрещено строительство зданий, строений, сооружений, с кадастровым номером 54:35:032235:53 площадью 0,0413 га, расположенного по адресу:</w:t>
      </w:r>
      <w:proofErr w:type="gramEnd"/>
      <w:r w:rsidRPr="0022170D">
        <w:t xml:space="preserve"> </w:t>
      </w:r>
      <w:proofErr w:type="gramStart"/>
      <w:r w:rsidRPr="0022170D">
        <w:t>Российская Ф</w:t>
      </w:r>
      <w:r w:rsidRPr="0022170D">
        <w:t>е</w:t>
      </w:r>
      <w:r w:rsidRPr="0022170D">
        <w:t xml:space="preserve">дерация, Новосибирская область, город Новосибирск, ул. 1-я Пестеля, 22 (зона </w:t>
      </w:r>
      <w:r w:rsidRPr="0022170D">
        <w:rPr>
          <w:rFonts w:eastAsia="Calibri"/>
          <w:lang w:eastAsia="en-US"/>
        </w:rPr>
        <w:t>з</w:t>
      </w:r>
      <w:r w:rsidRPr="0022170D">
        <w:rPr>
          <w:rFonts w:eastAsia="Calibri"/>
          <w:lang w:eastAsia="en-US"/>
        </w:rPr>
        <w:t>а</w:t>
      </w:r>
      <w:r w:rsidRPr="0022170D">
        <w:rPr>
          <w:rFonts w:eastAsia="Calibri"/>
          <w:lang w:eastAsia="en-US"/>
        </w:rPr>
        <w:t>стройки индивидуальными жилыми домами (Ж-6)</w:t>
      </w:r>
      <w:r w:rsidRPr="0022170D">
        <w:t xml:space="preserve">), </w:t>
      </w:r>
      <w:r w:rsidRPr="0022170D">
        <w:rPr>
          <w:bCs/>
        </w:rPr>
        <w:t>с 3 м до 2,15 м со стороны земельного участка с кадастровым номером 54:35:032235:2, с 3 м до 2,9</w:t>
      </w:r>
      <w:r w:rsidR="008F5790" w:rsidRPr="0022170D">
        <w:rPr>
          <w:bCs/>
        </w:rPr>
        <w:t xml:space="preserve"> м</w:t>
      </w:r>
      <w:r w:rsidRPr="0022170D">
        <w:rPr>
          <w:bCs/>
        </w:rPr>
        <w:t xml:space="preserve"> со ст</w:t>
      </w:r>
      <w:r w:rsidRPr="0022170D">
        <w:rPr>
          <w:bCs/>
        </w:rPr>
        <w:t>о</w:t>
      </w:r>
      <w:r w:rsidRPr="0022170D">
        <w:rPr>
          <w:bCs/>
        </w:rPr>
        <w:t xml:space="preserve">роны земельного участка с кадастровым номером 54:35:032235:50 </w:t>
      </w:r>
      <w:r w:rsidRPr="0022170D">
        <w:rPr>
          <w:color w:val="000000" w:themeColor="text1"/>
        </w:rPr>
        <w:t>в связи с тем, что нарушены требования действующего законодательства: пункта</w:t>
      </w:r>
      <w:proofErr w:type="gramEnd"/>
      <w:r w:rsidRPr="0022170D">
        <w:rPr>
          <w:color w:val="000000" w:themeColor="text1"/>
        </w:rPr>
        <w:t xml:space="preserve"> 5 части 1 ст</w:t>
      </w:r>
      <w:r w:rsidRPr="0022170D">
        <w:rPr>
          <w:color w:val="000000" w:themeColor="text1"/>
        </w:rPr>
        <w:t>а</w:t>
      </w:r>
      <w:r w:rsidRPr="0022170D">
        <w:rPr>
          <w:color w:val="000000" w:themeColor="text1"/>
        </w:rPr>
        <w:t>тьи 80 Федерального закона от 22.07.2008 № 123-ФЗ «Технический регламент о требованиях пожарной безопасности», а именно конструктивные, объемно-планировочные и инженерно-технические решения здания не обеспечивают н</w:t>
      </w:r>
      <w:r w:rsidRPr="0022170D">
        <w:rPr>
          <w:color w:val="000000" w:themeColor="text1"/>
        </w:rPr>
        <w:t>е</w:t>
      </w:r>
      <w:r w:rsidRPr="0022170D">
        <w:rPr>
          <w:color w:val="000000" w:themeColor="text1"/>
        </w:rPr>
        <w:t>распространение пожара на соседние здания и сооружения.</w:t>
      </w:r>
    </w:p>
    <w:p w:rsidR="007379B5" w:rsidRPr="0022170D" w:rsidRDefault="003511CB" w:rsidP="0022170D">
      <w:pPr>
        <w:tabs>
          <w:tab w:val="left" w:pos="10440"/>
        </w:tabs>
        <w:ind w:firstLine="709"/>
        <w:jc w:val="both"/>
        <w:outlineLvl w:val="3"/>
        <w:rPr>
          <w:bCs/>
          <w:color w:val="000000" w:themeColor="text1"/>
        </w:rPr>
      </w:pPr>
      <w:r w:rsidRPr="0022170D">
        <w:rPr>
          <w:bCs/>
        </w:rPr>
        <w:t>1.4. </w:t>
      </w:r>
      <w:proofErr w:type="gramStart"/>
      <w:r w:rsidRPr="0022170D">
        <w:rPr>
          <w:bCs/>
        </w:rPr>
        <w:t>Обществу с ограниченной ответственностью «</w:t>
      </w:r>
      <w:proofErr w:type="spellStart"/>
      <w:r w:rsidRPr="0022170D">
        <w:rPr>
          <w:bCs/>
        </w:rPr>
        <w:t>ОВА-Керамик</w:t>
      </w:r>
      <w:proofErr w:type="spellEnd"/>
      <w:r w:rsidRPr="0022170D">
        <w:rPr>
          <w:bCs/>
        </w:rPr>
        <w:t xml:space="preserve">» </w:t>
      </w:r>
      <w:r w:rsidRPr="0022170D">
        <w:t>(на осн</w:t>
      </w:r>
      <w:r w:rsidRPr="0022170D">
        <w:t>о</w:t>
      </w:r>
      <w:r w:rsidRPr="0022170D">
        <w:t>вании заявления в связи с тем, что инженерно-геологические характеристики з</w:t>
      </w:r>
      <w:r w:rsidRPr="0022170D">
        <w:t>е</w:t>
      </w:r>
      <w:r w:rsidRPr="0022170D">
        <w:t xml:space="preserve">мельного участка и наличие инженерных сетей являются неблагоприятными для застройки) </w:t>
      </w:r>
      <w:r w:rsidRPr="0022170D">
        <w:rPr>
          <w:bCs/>
          <w:iCs/>
        </w:rPr>
        <w:t xml:space="preserve">в части </w:t>
      </w:r>
      <w:r w:rsidRPr="0022170D">
        <w:rPr>
          <w:bCs/>
        </w:rPr>
        <w:t>уменьшения минимального процента застройки с 30 % до 10 %</w:t>
      </w:r>
      <w:r w:rsidRPr="0022170D">
        <w:rPr>
          <w:bCs/>
          <w:iCs/>
        </w:rPr>
        <w:t xml:space="preserve"> в </w:t>
      </w:r>
      <w:r w:rsidRPr="0022170D">
        <w:t>границах земельного участка на территории кадастрового квартала</w:t>
      </w:r>
      <w:r w:rsidRPr="0022170D">
        <w:rPr>
          <w:bCs/>
        </w:rPr>
        <w:t xml:space="preserve"> 54:35:062685</w:t>
      </w:r>
      <w:r w:rsidRPr="0022170D">
        <w:t xml:space="preserve"> площадью 1,8578 га, расположенного по адресу:</w:t>
      </w:r>
      <w:proofErr w:type="gramEnd"/>
      <w:r w:rsidRPr="0022170D">
        <w:t xml:space="preserve"> Российская Федерация, Новос</w:t>
      </w:r>
      <w:r w:rsidRPr="0022170D">
        <w:t>и</w:t>
      </w:r>
      <w:r w:rsidRPr="0022170D">
        <w:t>бирская область, город Новосибирск, ул. </w:t>
      </w:r>
      <w:proofErr w:type="spellStart"/>
      <w:r w:rsidRPr="0022170D">
        <w:t>Толмачевская</w:t>
      </w:r>
      <w:proofErr w:type="spellEnd"/>
      <w:r w:rsidRPr="0022170D">
        <w:t xml:space="preserve"> (</w:t>
      </w:r>
      <w:r w:rsidRPr="0022170D">
        <w:rPr>
          <w:bCs/>
        </w:rPr>
        <w:t xml:space="preserve">зона </w:t>
      </w:r>
      <w:r w:rsidRPr="0022170D">
        <w:t>коммунальных и складских объектов (П-2)</w:t>
      </w:r>
      <w:r w:rsidRPr="0022170D">
        <w:rPr>
          <w:bCs/>
        </w:rPr>
        <w:t>),</w:t>
      </w:r>
      <w:r w:rsidRPr="0022170D">
        <w:rPr>
          <w:color w:val="C00000"/>
        </w:rPr>
        <w:t xml:space="preserve"> </w:t>
      </w:r>
      <w:r w:rsidRPr="0022170D">
        <w:rPr>
          <w:color w:val="000000" w:themeColor="text1"/>
        </w:rPr>
        <w:t>в связи с тем, что заявитель не является правооблад</w:t>
      </w:r>
      <w:r w:rsidRPr="0022170D">
        <w:rPr>
          <w:color w:val="000000" w:themeColor="text1"/>
        </w:rPr>
        <w:t>а</w:t>
      </w:r>
      <w:proofErr w:type="gramStart"/>
      <w:r w:rsidRPr="0022170D">
        <w:rPr>
          <w:color w:val="000000" w:themeColor="text1"/>
        </w:rPr>
        <w:t>телем земельного участка, а также в связи с тем, что не представлены документы, указанные в подпункте 2.10.1 административного регламента</w:t>
      </w:r>
      <w:r w:rsidR="0022170D" w:rsidRPr="0022170D">
        <w:t xml:space="preserve"> предоставления </w:t>
      </w:r>
      <w:r w:rsidR="0022170D">
        <w:t xml:space="preserve">         </w:t>
      </w:r>
      <w:r w:rsidR="0022170D" w:rsidRPr="0022170D">
        <w:t xml:space="preserve">муниципальной услуги по предоставлению разрешения на отклонение от </w:t>
      </w:r>
      <w:r w:rsidR="0022170D">
        <w:t xml:space="preserve">                </w:t>
      </w:r>
      <w:r w:rsidR="0022170D" w:rsidRPr="0022170D">
        <w:t>предельных параметров разрешенного строительства, реконструкции объектов капитального строительства</w:t>
      </w:r>
      <w:r w:rsidRPr="0022170D">
        <w:rPr>
          <w:color w:val="000000" w:themeColor="text1"/>
        </w:rPr>
        <w:t>, утвержденного постановлением мэрии города Нов</w:t>
      </w:r>
      <w:r w:rsidRPr="0022170D">
        <w:rPr>
          <w:color w:val="000000" w:themeColor="text1"/>
        </w:rPr>
        <w:t>о</w:t>
      </w:r>
      <w:r w:rsidRPr="0022170D">
        <w:rPr>
          <w:color w:val="000000" w:themeColor="text1"/>
        </w:rPr>
        <w:t>сибирска от 10.06.2013 № 5459, а именно</w:t>
      </w:r>
      <w:r w:rsidR="00C2568A">
        <w:rPr>
          <w:color w:val="000000" w:themeColor="text1"/>
        </w:rPr>
        <w:t>:</w:t>
      </w:r>
      <w:r w:rsidRPr="0022170D">
        <w:rPr>
          <w:color w:val="000000" w:themeColor="text1"/>
        </w:rPr>
        <w:t xml:space="preserve"> схема планировочной организации з</w:t>
      </w:r>
      <w:r w:rsidRPr="0022170D">
        <w:rPr>
          <w:color w:val="000000" w:themeColor="text1"/>
        </w:rPr>
        <w:t>е</w:t>
      </w:r>
      <w:r w:rsidRPr="0022170D">
        <w:rPr>
          <w:color w:val="000000" w:themeColor="text1"/>
        </w:rPr>
        <w:t>мельного участка, заключение о соответствии санитарным правилам и нормам, заключение о</w:t>
      </w:r>
      <w:proofErr w:type="gramEnd"/>
      <w:r w:rsidRPr="0022170D">
        <w:rPr>
          <w:color w:val="000000" w:themeColor="text1"/>
        </w:rPr>
        <w:t xml:space="preserve"> </w:t>
      </w:r>
      <w:proofErr w:type="gramStart"/>
      <w:r w:rsidRPr="0022170D">
        <w:rPr>
          <w:color w:val="000000" w:themeColor="text1"/>
        </w:rPr>
        <w:t>соотве</w:t>
      </w:r>
      <w:bookmarkStart w:id="0" w:name="_GoBack"/>
      <w:bookmarkEnd w:id="0"/>
      <w:r w:rsidRPr="0022170D">
        <w:rPr>
          <w:color w:val="000000" w:themeColor="text1"/>
        </w:rPr>
        <w:t>тствии</w:t>
      </w:r>
      <w:proofErr w:type="gramEnd"/>
      <w:r w:rsidRPr="0022170D">
        <w:rPr>
          <w:color w:val="000000" w:themeColor="text1"/>
        </w:rPr>
        <w:t xml:space="preserve"> техническим регламентам.</w:t>
      </w:r>
    </w:p>
    <w:p w:rsidR="00561B0B" w:rsidRPr="0022170D" w:rsidRDefault="00561B0B" w:rsidP="0022170D">
      <w:pPr>
        <w:tabs>
          <w:tab w:val="left" w:pos="10440"/>
        </w:tabs>
        <w:ind w:firstLine="709"/>
        <w:jc w:val="both"/>
        <w:outlineLvl w:val="3"/>
        <w:rPr>
          <w:bCs/>
        </w:rPr>
      </w:pPr>
      <w:r w:rsidRPr="0022170D">
        <w:rPr>
          <w:bCs/>
        </w:rPr>
        <w:t>1.5. </w:t>
      </w:r>
      <w:proofErr w:type="gramStart"/>
      <w:r w:rsidRPr="0022170D">
        <w:rPr>
          <w:bCs/>
        </w:rPr>
        <w:t>Обществу с ограниченной ответственностью Строительной компании «Гранит»</w:t>
      </w:r>
      <w:r w:rsidRPr="0022170D">
        <w:t xml:space="preserve"> (на основании заявления в связи с тем, что конфигурация земельного </w:t>
      </w:r>
      <w:r w:rsidRPr="0022170D">
        <w:lastRenderedPageBreak/>
        <w:t xml:space="preserve">участка и наличие инженерных сетей являются неблагоприятными для застройки) </w:t>
      </w:r>
      <w:r w:rsidRPr="0022170D">
        <w:rPr>
          <w:bCs/>
          <w:iCs/>
        </w:rPr>
        <w:t xml:space="preserve">в части </w:t>
      </w:r>
      <w:r w:rsidRPr="0022170D">
        <w:rPr>
          <w:bCs/>
        </w:rPr>
        <w:t>уменьшения минимального процента застройки с 25 % до 2 %</w:t>
      </w:r>
      <w:r w:rsidRPr="0022170D">
        <w:rPr>
          <w:bCs/>
          <w:iCs/>
        </w:rPr>
        <w:t xml:space="preserve"> в </w:t>
      </w:r>
      <w:r w:rsidRPr="0022170D">
        <w:t xml:space="preserve">границах земельного участка с кадастровым номером </w:t>
      </w:r>
      <w:r w:rsidRPr="0022170D">
        <w:rPr>
          <w:bCs/>
        </w:rPr>
        <w:t>54:35:051925:70</w:t>
      </w:r>
      <w:r w:rsidRPr="0022170D">
        <w:t xml:space="preserve"> площадью 0,3496 га, расположенного по адресу:</w:t>
      </w:r>
      <w:proofErr w:type="gramEnd"/>
      <w:r w:rsidRPr="0022170D">
        <w:t xml:space="preserve"> Российская Федерация, Новосибирская область, город Новосибирск, ул. Громова </w:t>
      </w:r>
      <w:r w:rsidRPr="0022170D">
        <w:rPr>
          <w:bCs/>
        </w:rPr>
        <w:t xml:space="preserve">(зона </w:t>
      </w:r>
      <w:r w:rsidRPr="0022170D">
        <w:rPr>
          <w:rFonts w:eastAsia="Calibri"/>
          <w:lang w:eastAsia="en-US"/>
        </w:rPr>
        <w:t>застройки жилыми домами смешанной этажности (Ж-1)</w:t>
      </w:r>
      <w:r w:rsidRPr="0022170D">
        <w:rPr>
          <w:bCs/>
        </w:rPr>
        <w:t>)</w:t>
      </w:r>
      <w:r w:rsidRPr="0022170D">
        <w:t>,</w:t>
      </w:r>
      <w:r w:rsidRPr="0022170D">
        <w:rPr>
          <w:b/>
        </w:rPr>
        <w:t xml:space="preserve"> </w:t>
      </w:r>
      <w:r w:rsidRPr="0022170D">
        <w:t>связи с тем, что отсутствуют обоснования, предусмотренные частью 1 ст</w:t>
      </w:r>
      <w:r w:rsidRPr="0022170D">
        <w:t>а</w:t>
      </w:r>
      <w:r w:rsidRPr="0022170D">
        <w:t>тьи 40 Градостроительного кодекса Российской Федерации, а именно конфигур</w:t>
      </w:r>
      <w:r w:rsidRPr="0022170D">
        <w:t>а</w:t>
      </w:r>
      <w:r w:rsidRPr="0022170D">
        <w:t>ция земельного участка и наличие инженерных сетей не являются неблагоприятными для застройки.</w:t>
      </w:r>
    </w:p>
    <w:p w:rsidR="00525A63" w:rsidRPr="0022170D" w:rsidRDefault="00E078CE" w:rsidP="0022170D">
      <w:pPr>
        <w:ind w:firstLine="708"/>
        <w:jc w:val="both"/>
        <w:rPr>
          <w:spacing w:val="-8"/>
        </w:rPr>
      </w:pPr>
      <w:r w:rsidRPr="0022170D">
        <w:t xml:space="preserve">2. Департаменту строительства и архитектуры мэрии города Новосибирска </w:t>
      </w:r>
      <w:proofErr w:type="gramStart"/>
      <w:r w:rsidRPr="0022170D">
        <w:t>разместить постановление</w:t>
      </w:r>
      <w:proofErr w:type="gramEnd"/>
      <w:r w:rsidRPr="0022170D">
        <w:t xml:space="preserve"> на официальном сайте города Новосибирска в инфо</w:t>
      </w:r>
      <w:r w:rsidRPr="0022170D">
        <w:t>р</w:t>
      </w:r>
      <w:r w:rsidRPr="0022170D">
        <w:t xml:space="preserve">мационно-телекоммуникационной сети «Интернет». </w:t>
      </w:r>
    </w:p>
    <w:p w:rsidR="00E078CE" w:rsidRPr="0022170D" w:rsidRDefault="00E078CE" w:rsidP="0022170D">
      <w:pPr>
        <w:ind w:firstLine="709"/>
        <w:jc w:val="both"/>
      </w:pPr>
      <w:r w:rsidRPr="0022170D">
        <w:t>3. Департаменту информационной политики мэрии города Новосибирска обеспечить опубликование постановления.</w:t>
      </w:r>
    </w:p>
    <w:p w:rsidR="003804A5" w:rsidRPr="0022170D" w:rsidRDefault="00E078CE" w:rsidP="0022170D">
      <w:pPr>
        <w:ind w:firstLine="709"/>
        <w:jc w:val="both"/>
      </w:pPr>
      <w:r w:rsidRPr="0022170D">
        <w:t>4. </w:t>
      </w:r>
      <w:proofErr w:type="gramStart"/>
      <w:r w:rsidRPr="0022170D">
        <w:t>Контроль за</w:t>
      </w:r>
      <w:proofErr w:type="gramEnd"/>
      <w:r w:rsidRPr="0022170D">
        <w:t xml:space="preserve"> исполнением постановления возложить на заместителя мэра </w:t>
      </w:r>
      <w:r w:rsidR="00C42FAB" w:rsidRPr="0022170D">
        <w:t xml:space="preserve">города Новосибирска </w:t>
      </w:r>
      <w:r w:rsidRPr="0022170D">
        <w:t>- начальника департамента строительства и архитектуры мэрии города Новосибирска.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22170D" w:rsidRPr="00106B12" w:rsidTr="00F77532">
        <w:tc>
          <w:tcPr>
            <w:tcW w:w="6946" w:type="dxa"/>
          </w:tcPr>
          <w:p w:rsidR="0022170D" w:rsidRDefault="0022170D" w:rsidP="00614F44">
            <w:pPr>
              <w:spacing w:before="600"/>
              <w:ind w:firstLine="34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2170D" w:rsidRPr="00106B12" w:rsidRDefault="0022170D" w:rsidP="00BF4AF6">
            <w:pPr>
              <w:ind w:firstLine="34"/>
              <w:jc w:val="both"/>
            </w:pPr>
            <w:r>
              <w:t>мэра</w:t>
            </w:r>
            <w:r w:rsidRPr="00106B12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22170D" w:rsidRPr="000C414F" w:rsidRDefault="0022170D" w:rsidP="00173B24">
            <w:pPr>
              <w:pStyle w:val="7"/>
              <w:spacing w:before="0" w:line="240" w:lineRule="auto"/>
              <w:ind w:left="1298" w:right="57" w:hanging="1298"/>
              <w:jc w:val="right"/>
            </w:pPr>
            <w:r>
              <w:br/>
              <w:t xml:space="preserve">Б. В. </w:t>
            </w:r>
            <w:proofErr w:type="spellStart"/>
            <w:r>
              <w:t>Буреев</w:t>
            </w:r>
            <w:proofErr w:type="spellEnd"/>
          </w:p>
        </w:tc>
      </w:tr>
    </w:tbl>
    <w:p w:rsidR="00561B0B" w:rsidRDefault="00561B0B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Pr="0022170D" w:rsidRDefault="00C66140" w:rsidP="003F2E1E">
      <w:pPr>
        <w:widowControl/>
        <w:suppressAutoHyphens/>
        <w:spacing w:line="240" w:lineRule="atLeast"/>
        <w:rPr>
          <w:sz w:val="32"/>
        </w:rPr>
      </w:pPr>
    </w:p>
    <w:p w:rsidR="00C66140" w:rsidRPr="0022170D" w:rsidRDefault="00C66140" w:rsidP="003F2E1E">
      <w:pPr>
        <w:widowControl/>
        <w:suppressAutoHyphens/>
        <w:spacing w:line="240" w:lineRule="atLeast"/>
        <w:rPr>
          <w:sz w:val="32"/>
        </w:rPr>
      </w:pPr>
    </w:p>
    <w:p w:rsidR="00C66140" w:rsidRPr="0022170D" w:rsidRDefault="00C66140" w:rsidP="003F2E1E">
      <w:pPr>
        <w:widowControl/>
        <w:suppressAutoHyphens/>
        <w:spacing w:line="240" w:lineRule="atLeast"/>
        <w:rPr>
          <w:sz w:val="32"/>
        </w:rPr>
      </w:pPr>
    </w:p>
    <w:p w:rsidR="00C66140" w:rsidRPr="0022170D" w:rsidRDefault="00C66140" w:rsidP="003F2E1E">
      <w:pPr>
        <w:widowControl/>
        <w:suppressAutoHyphens/>
        <w:spacing w:line="240" w:lineRule="atLeast"/>
        <w:rPr>
          <w:sz w:val="32"/>
        </w:rPr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C66140" w:rsidRDefault="00C66140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561B0B" w:rsidRDefault="00561B0B" w:rsidP="003F2E1E">
      <w:pPr>
        <w:widowControl/>
        <w:suppressAutoHyphens/>
        <w:spacing w:line="240" w:lineRule="atLeast"/>
      </w:pPr>
    </w:p>
    <w:p w:rsidR="00561B0B" w:rsidRDefault="00561B0B" w:rsidP="003F2E1E">
      <w:pPr>
        <w:widowControl/>
        <w:suppressAutoHyphens/>
        <w:spacing w:line="240" w:lineRule="atLeast"/>
      </w:pPr>
    </w:p>
    <w:p w:rsidR="00561B0B" w:rsidRDefault="00561B0B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3511CB" w:rsidRDefault="003511CB" w:rsidP="003F2E1E">
      <w:pPr>
        <w:widowControl/>
        <w:suppressAutoHyphens/>
        <w:spacing w:line="240" w:lineRule="atLeast"/>
      </w:pPr>
    </w:p>
    <w:p w:rsidR="003F2E1E" w:rsidRPr="001E67C8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Спасская</w:t>
      </w:r>
    </w:p>
    <w:p w:rsidR="003F2E1E" w:rsidRPr="001E67C8" w:rsidRDefault="003F2E1E" w:rsidP="003F2E1E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2275069</w:t>
      </w:r>
    </w:p>
    <w:p w:rsidR="003D7406" w:rsidRPr="001E67C8" w:rsidRDefault="003F2E1E" w:rsidP="003F2E1E">
      <w:pPr>
        <w:rPr>
          <w:sz w:val="24"/>
          <w:szCs w:val="24"/>
        </w:rPr>
      </w:pPr>
      <w:proofErr w:type="spellStart"/>
      <w:r w:rsidRPr="001E67C8">
        <w:rPr>
          <w:sz w:val="24"/>
          <w:szCs w:val="24"/>
        </w:rPr>
        <w:t>ГУАиГ</w:t>
      </w:r>
      <w:proofErr w:type="spellEnd"/>
    </w:p>
    <w:sectPr w:rsidR="003D7406" w:rsidRPr="001E67C8" w:rsidSect="0022170D">
      <w:headerReference w:type="default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71" w:rsidRDefault="00C80C71" w:rsidP="00E10E89">
      <w:r>
        <w:separator/>
      </w:r>
    </w:p>
  </w:endnote>
  <w:endnote w:type="continuationSeparator" w:id="0">
    <w:p w:rsidR="00C80C71" w:rsidRDefault="00C80C71" w:rsidP="00E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71" w:rsidRDefault="00C80C71" w:rsidP="00E10E89">
      <w:r>
        <w:separator/>
      </w:r>
    </w:p>
  </w:footnote>
  <w:footnote w:type="continuationSeparator" w:id="0">
    <w:p w:rsidR="00C80C71" w:rsidRDefault="00C80C71" w:rsidP="00E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</w:rPr>
      <w:id w:val="31425982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532334" w:rsidRPr="0022170D" w:rsidRDefault="005A5A50">
        <w:pPr>
          <w:pStyle w:val="a5"/>
          <w:jc w:val="center"/>
          <w:rPr>
            <w:sz w:val="36"/>
          </w:rPr>
        </w:pPr>
        <w:r w:rsidRPr="0022170D">
          <w:rPr>
            <w:sz w:val="24"/>
            <w:szCs w:val="20"/>
          </w:rPr>
          <w:fldChar w:fldCharType="begin"/>
        </w:r>
        <w:r w:rsidR="00532334" w:rsidRPr="0022170D">
          <w:rPr>
            <w:sz w:val="24"/>
            <w:szCs w:val="20"/>
          </w:rPr>
          <w:instrText xml:space="preserve"> PAGE   \* MERGEFORMAT </w:instrText>
        </w:r>
        <w:r w:rsidRPr="0022170D">
          <w:rPr>
            <w:sz w:val="24"/>
            <w:szCs w:val="20"/>
          </w:rPr>
          <w:fldChar w:fldCharType="separate"/>
        </w:r>
        <w:r w:rsidR="00032B98">
          <w:rPr>
            <w:noProof/>
            <w:sz w:val="24"/>
            <w:szCs w:val="20"/>
          </w:rPr>
          <w:t>2</w:t>
        </w:r>
        <w:r w:rsidRPr="0022170D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2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B9D"/>
    <w:rsid w:val="00012A20"/>
    <w:rsid w:val="0001756E"/>
    <w:rsid w:val="00025172"/>
    <w:rsid w:val="00027902"/>
    <w:rsid w:val="00032B98"/>
    <w:rsid w:val="00061BE6"/>
    <w:rsid w:val="00061D86"/>
    <w:rsid w:val="00073139"/>
    <w:rsid w:val="00080199"/>
    <w:rsid w:val="00087382"/>
    <w:rsid w:val="000B5BCB"/>
    <w:rsid w:val="000D05A7"/>
    <w:rsid w:val="000D74D9"/>
    <w:rsid w:val="000F0344"/>
    <w:rsid w:val="000F2537"/>
    <w:rsid w:val="000F25FD"/>
    <w:rsid w:val="000F378A"/>
    <w:rsid w:val="00132818"/>
    <w:rsid w:val="0016735C"/>
    <w:rsid w:val="0018036C"/>
    <w:rsid w:val="00191BD4"/>
    <w:rsid w:val="00192555"/>
    <w:rsid w:val="001B7C07"/>
    <w:rsid w:val="001C5E2C"/>
    <w:rsid w:val="001D1572"/>
    <w:rsid w:val="001E38B3"/>
    <w:rsid w:val="001E4157"/>
    <w:rsid w:val="001E67C8"/>
    <w:rsid w:val="001F27FA"/>
    <w:rsid w:val="00201290"/>
    <w:rsid w:val="00204CDF"/>
    <w:rsid w:val="00206928"/>
    <w:rsid w:val="00214E5D"/>
    <w:rsid w:val="00220180"/>
    <w:rsid w:val="0022170D"/>
    <w:rsid w:val="0022418F"/>
    <w:rsid w:val="00231620"/>
    <w:rsid w:val="00251C9D"/>
    <w:rsid w:val="00257A54"/>
    <w:rsid w:val="00280E93"/>
    <w:rsid w:val="00290F6F"/>
    <w:rsid w:val="0029125A"/>
    <w:rsid w:val="002B01F2"/>
    <w:rsid w:val="002B5EBB"/>
    <w:rsid w:val="002C7B5E"/>
    <w:rsid w:val="002F01A0"/>
    <w:rsid w:val="0030173D"/>
    <w:rsid w:val="00302C22"/>
    <w:rsid w:val="003126C3"/>
    <w:rsid w:val="003313FE"/>
    <w:rsid w:val="00331BF2"/>
    <w:rsid w:val="003347E8"/>
    <w:rsid w:val="003511CB"/>
    <w:rsid w:val="00351340"/>
    <w:rsid w:val="00352998"/>
    <w:rsid w:val="0035395B"/>
    <w:rsid w:val="00373A07"/>
    <w:rsid w:val="003804A5"/>
    <w:rsid w:val="00396401"/>
    <w:rsid w:val="003A7C71"/>
    <w:rsid w:val="003B13D5"/>
    <w:rsid w:val="003C5B4C"/>
    <w:rsid w:val="003D7406"/>
    <w:rsid w:val="003F27AE"/>
    <w:rsid w:val="003F2E1E"/>
    <w:rsid w:val="003F40BA"/>
    <w:rsid w:val="003F607C"/>
    <w:rsid w:val="00400D47"/>
    <w:rsid w:val="004059DE"/>
    <w:rsid w:val="0042321D"/>
    <w:rsid w:val="00423EAB"/>
    <w:rsid w:val="00425B96"/>
    <w:rsid w:val="004337A5"/>
    <w:rsid w:val="00440508"/>
    <w:rsid w:val="00444103"/>
    <w:rsid w:val="0046313F"/>
    <w:rsid w:val="004703E4"/>
    <w:rsid w:val="004847C6"/>
    <w:rsid w:val="004925B6"/>
    <w:rsid w:val="004B08E2"/>
    <w:rsid w:val="004B649E"/>
    <w:rsid w:val="004B7890"/>
    <w:rsid w:val="004C1042"/>
    <w:rsid w:val="004E566D"/>
    <w:rsid w:val="004F4AD0"/>
    <w:rsid w:val="004F51EC"/>
    <w:rsid w:val="00500353"/>
    <w:rsid w:val="00501055"/>
    <w:rsid w:val="00525A63"/>
    <w:rsid w:val="00526E31"/>
    <w:rsid w:val="005312E5"/>
    <w:rsid w:val="00531C79"/>
    <w:rsid w:val="00532334"/>
    <w:rsid w:val="00535F46"/>
    <w:rsid w:val="0054048A"/>
    <w:rsid w:val="005426A1"/>
    <w:rsid w:val="00542F37"/>
    <w:rsid w:val="00545DCE"/>
    <w:rsid w:val="0055085C"/>
    <w:rsid w:val="0055512C"/>
    <w:rsid w:val="00561B0B"/>
    <w:rsid w:val="005677E6"/>
    <w:rsid w:val="00573B1A"/>
    <w:rsid w:val="005833A9"/>
    <w:rsid w:val="00586C43"/>
    <w:rsid w:val="00594229"/>
    <w:rsid w:val="00595ED0"/>
    <w:rsid w:val="005A1244"/>
    <w:rsid w:val="005A5A50"/>
    <w:rsid w:val="005A7C24"/>
    <w:rsid w:val="005B20F4"/>
    <w:rsid w:val="005C4D9E"/>
    <w:rsid w:val="005D5C79"/>
    <w:rsid w:val="005F1A5A"/>
    <w:rsid w:val="005F3CC1"/>
    <w:rsid w:val="005F6B95"/>
    <w:rsid w:val="005F7104"/>
    <w:rsid w:val="006168EC"/>
    <w:rsid w:val="006231AB"/>
    <w:rsid w:val="00623687"/>
    <w:rsid w:val="00647EC2"/>
    <w:rsid w:val="00667E20"/>
    <w:rsid w:val="00671E8F"/>
    <w:rsid w:val="00680E06"/>
    <w:rsid w:val="006833BB"/>
    <w:rsid w:val="006B7A63"/>
    <w:rsid w:val="006B7F8D"/>
    <w:rsid w:val="006C27D7"/>
    <w:rsid w:val="006C65A3"/>
    <w:rsid w:val="006E58C5"/>
    <w:rsid w:val="006F05BE"/>
    <w:rsid w:val="006F376A"/>
    <w:rsid w:val="006F3CCC"/>
    <w:rsid w:val="007133BA"/>
    <w:rsid w:val="00721543"/>
    <w:rsid w:val="007215EF"/>
    <w:rsid w:val="007260BC"/>
    <w:rsid w:val="00734271"/>
    <w:rsid w:val="007379B5"/>
    <w:rsid w:val="00745051"/>
    <w:rsid w:val="007704C0"/>
    <w:rsid w:val="00776EEE"/>
    <w:rsid w:val="00780C3D"/>
    <w:rsid w:val="007B79BB"/>
    <w:rsid w:val="007C16D8"/>
    <w:rsid w:val="007C42A7"/>
    <w:rsid w:val="007C795F"/>
    <w:rsid w:val="007C7B20"/>
    <w:rsid w:val="007D386E"/>
    <w:rsid w:val="007E4404"/>
    <w:rsid w:val="0080518E"/>
    <w:rsid w:val="00806877"/>
    <w:rsid w:val="00815438"/>
    <w:rsid w:val="00847480"/>
    <w:rsid w:val="00847E9F"/>
    <w:rsid w:val="00856BFF"/>
    <w:rsid w:val="008917D4"/>
    <w:rsid w:val="00895D91"/>
    <w:rsid w:val="008A5B0F"/>
    <w:rsid w:val="008A66FB"/>
    <w:rsid w:val="008B3416"/>
    <w:rsid w:val="008C588C"/>
    <w:rsid w:val="008D095B"/>
    <w:rsid w:val="008D7EFF"/>
    <w:rsid w:val="008E0CCF"/>
    <w:rsid w:val="008F5790"/>
    <w:rsid w:val="00901B16"/>
    <w:rsid w:val="0092516A"/>
    <w:rsid w:val="00952790"/>
    <w:rsid w:val="00955385"/>
    <w:rsid w:val="009571BF"/>
    <w:rsid w:val="009674B1"/>
    <w:rsid w:val="00975D7C"/>
    <w:rsid w:val="0098232F"/>
    <w:rsid w:val="009875E8"/>
    <w:rsid w:val="0099262C"/>
    <w:rsid w:val="00995CBD"/>
    <w:rsid w:val="00996DA7"/>
    <w:rsid w:val="009A06D2"/>
    <w:rsid w:val="009A5633"/>
    <w:rsid w:val="009A614A"/>
    <w:rsid w:val="009D3D36"/>
    <w:rsid w:val="009F0C7E"/>
    <w:rsid w:val="009F77DA"/>
    <w:rsid w:val="00A0395D"/>
    <w:rsid w:val="00A151EA"/>
    <w:rsid w:val="00A175E6"/>
    <w:rsid w:val="00A17E97"/>
    <w:rsid w:val="00A34FE0"/>
    <w:rsid w:val="00A40D31"/>
    <w:rsid w:val="00A445E9"/>
    <w:rsid w:val="00A610EC"/>
    <w:rsid w:val="00A7504A"/>
    <w:rsid w:val="00A90A07"/>
    <w:rsid w:val="00A9497C"/>
    <w:rsid w:val="00AA2873"/>
    <w:rsid w:val="00AB3858"/>
    <w:rsid w:val="00AC5DE2"/>
    <w:rsid w:val="00AD35E6"/>
    <w:rsid w:val="00AE1914"/>
    <w:rsid w:val="00AE3AC2"/>
    <w:rsid w:val="00AF7137"/>
    <w:rsid w:val="00B011C5"/>
    <w:rsid w:val="00B05835"/>
    <w:rsid w:val="00B0615A"/>
    <w:rsid w:val="00B0696F"/>
    <w:rsid w:val="00B1112B"/>
    <w:rsid w:val="00B12252"/>
    <w:rsid w:val="00B1318C"/>
    <w:rsid w:val="00B24905"/>
    <w:rsid w:val="00B43D0B"/>
    <w:rsid w:val="00B633BE"/>
    <w:rsid w:val="00B66217"/>
    <w:rsid w:val="00B6656F"/>
    <w:rsid w:val="00B67B9D"/>
    <w:rsid w:val="00B71A79"/>
    <w:rsid w:val="00B86F9B"/>
    <w:rsid w:val="00B87B73"/>
    <w:rsid w:val="00BA2A2A"/>
    <w:rsid w:val="00BA6147"/>
    <w:rsid w:val="00BA7BB0"/>
    <w:rsid w:val="00BB3D26"/>
    <w:rsid w:val="00BB53CB"/>
    <w:rsid w:val="00BE74A7"/>
    <w:rsid w:val="00BF0B9A"/>
    <w:rsid w:val="00C17BEB"/>
    <w:rsid w:val="00C21451"/>
    <w:rsid w:val="00C236A8"/>
    <w:rsid w:val="00C247B7"/>
    <w:rsid w:val="00C2568A"/>
    <w:rsid w:val="00C37768"/>
    <w:rsid w:val="00C42FAB"/>
    <w:rsid w:val="00C52F77"/>
    <w:rsid w:val="00C62DE9"/>
    <w:rsid w:val="00C66140"/>
    <w:rsid w:val="00C720D9"/>
    <w:rsid w:val="00C80C71"/>
    <w:rsid w:val="00C85870"/>
    <w:rsid w:val="00C860C1"/>
    <w:rsid w:val="00C97F8F"/>
    <w:rsid w:val="00CA6198"/>
    <w:rsid w:val="00CB59F4"/>
    <w:rsid w:val="00CB6C16"/>
    <w:rsid w:val="00CC230B"/>
    <w:rsid w:val="00CD5C8E"/>
    <w:rsid w:val="00CF4DD8"/>
    <w:rsid w:val="00D01937"/>
    <w:rsid w:val="00D025A0"/>
    <w:rsid w:val="00D105E5"/>
    <w:rsid w:val="00D21E07"/>
    <w:rsid w:val="00D257CD"/>
    <w:rsid w:val="00D3633E"/>
    <w:rsid w:val="00D701C7"/>
    <w:rsid w:val="00D908CD"/>
    <w:rsid w:val="00DA0451"/>
    <w:rsid w:val="00DA0863"/>
    <w:rsid w:val="00DA2C34"/>
    <w:rsid w:val="00DA4F76"/>
    <w:rsid w:val="00DA4F9B"/>
    <w:rsid w:val="00DA59FE"/>
    <w:rsid w:val="00DC2560"/>
    <w:rsid w:val="00DC58F4"/>
    <w:rsid w:val="00DD4CDD"/>
    <w:rsid w:val="00DD565B"/>
    <w:rsid w:val="00DE636C"/>
    <w:rsid w:val="00E01FE3"/>
    <w:rsid w:val="00E030FA"/>
    <w:rsid w:val="00E078CE"/>
    <w:rsid w:val="00E10E89"/>
    <w:rsid w:val="00E17125"/>
    <w:rsid w:val="00E27412"/>
    <w:rsid w:val="00E416E2"/>
    <w:rsid w:val="00E42F8C"/>
    <w:rsid w:val="00E52BFC"/>
    <w:rsid w:val="00E539EC"/>
    <w:rsid w:val="00E747D3"/>
    <w:rsid w:val="00E812F5"/>
    <w:rsid w:val="00E85E4B"/>
    <w:rsid w:val="00EC266A"/>
    <w:rsid w:val="00EC67CF"/>
    <w:rsid w:val="00ED6198"/>
    <w:rsid w:val="00EE3254"/>
    <w:rsid w:val="00EE41BE"/>
    <w:rsid w:val="00EF3DAB"/>
    <w:rsid w:val="00EF45AD"/>
    <w:rsid w:val="00EF7B8D"/>
    <w:rsid w:val="00F12A0F"/>
    <w:rsid w:val="00F17503"/>
    <w:rsid w:val="00F21F32"/>
    <w:rsid w:val="00F426DB"/>
    <w:rsid w:val="00F51338"/>
    <w:rsid w:val="00F61A80"/>
    <w:rsid w:val="00F62E0A"/>
    <w:rsid w:val="00F77BD1"/>
    <w:rsid w:val="00F86D1B"/>
    <w:rsid w:val="00FA51DD"/>
    <w:rsid w:val="00FB1400"/>
    <w:rsid w:val="00FD714E"/>
    <w:rsid w:val="00FE6799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B9D"/>
    <w:pPr>
      <w:keepNext/>
      <w:spacing w:after="360" w:line="240" w:lineRule="atLeast"/>
      <w:ind w:left="2880" w:firstLine="720"/>
      <w:jc w:val="both"/>
      <w:outlineLvl w:val="2"/>
    </w:pPr>
  </w:style>
  <w:style w:type="paragraph" w:styleId="7">
    <w:name w:val="heading 7"/>
    <w:basedOn w:val="a"/>
    <w:next w:val="a"/>
    <w:link w:val="70"/>
    <w:uiPriority w:val="99"/>
    <w:qFormat/>
    <w:rsid w:val="00B67B9D"/>
    <w:pPr>
      <w:keepNext/>
      <w:widowControl/>
      <w:spacing w:before="600" w:line="24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67B9D"/>
  </w:style>
  <w:style w:type="character" w:customStyle="1" w:styleId="a4">
    <w:name w:val="Основной текст Знак"/>
    <w:basedOn w:val="a0"/>
    <w:link w:val="a3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B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!для пп"/>
    <w:basedOn w:val="a8"/>
    <w:qFormat/>
    <w:rsid w:val="00B67B9D"/>
    <w:pPr>
      <w:widowControl/>
      <w:ind w:left="0"/>
      <w:jc w:val="both"/>
    </w:pPr>
    <w:rPr>
      <w:color w:val="000000"/>
    </w:rPr>
  </w:style>
  <w:style w:type="paragraph" w:styleId="a8">
    <w:name w:val="List Paragraph"/>
    <w:basedOn w:val="a"/>
    <w:uiPriority w:val="34"/>
    <w:qFormat/>
    <w:rsid w:val="00B67B9D"/>
    <w:pPr>
      <w:ind w:left="720"/>
      <w:contextualSpacing/>
    </w:pPr>
  </w:style>
  <w:style w:type="paragraph" w:customStyle="1" w:styleId="ConsPlusNormal">
    <w:name w:val="ConsPlusNormal"/>
    <w:rsid w:val="00EF3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0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04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17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7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7 Знак1"/>
    <w:uiPriority w:val="99"/>
    <w:locked/>
    <w:rsid w:val="0022170D"/>
    <w:rPr>
      <w:rFonts w:ascii="Calibri" w:eastAsia="Times New Roman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7D0B4-0A23-4DC0-8C9B-CEDEC05F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KKozhemyako</cp:lastModifiedBy>
  <cp:revision>51</cp:revision>
  <cp:lastPrinted>2017-04-13T07:56:00Z</cp:lastPrinted>
  <dcterms:created xsi:type="dcterms:W3CDTF">2016-09-16T12:12:00Z</dcterms:created>
  <dcterms:modified xsi:type="dcterms:W3CDTF">2017-04-18T10:23:00Z</dcterms:modified>
</cp:coreProperties>
</file>